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Default="004830B9" w:rsidP="00E10FFD">
      <w:pPr>
        <w:jc w:val="both"/>
        <w:rPr>
          <w:rFonts w:ascii="Tahoma" w:hAnsi="Tahoma" w:cs="Tahoma"/>
          <w:b/>
        </w:rPr>
      </w:pPr>
    </w:p>
    <w:p w14:paraId="72A8A4E7" w14:textId="7E6C7CEF" w:rsidR="00D144E0" w:rsidRPr="007F11EF" w:rsidRDefault="001E0A73" w:rsidP="007F11EF">
      <w:pPr>
        <w:jc w:val="both"/>
        <w:rPr>
          <w:rFonts w:ascii="Tahoma" w:hAnsi="Tahoma" w:cs="Tahoma"/>
          <w:b/>
        </w:rPr>
      </w:pPr>
      <w:r w:rsidRPr="007F11EF">
        <w:rPr>
          <w:rFonts w:ascii="Tahoma" w:hAnsi="Tahoma" w:cs="Tahoma"/>
          <w:b/>
        </w:rPr>
        <w:t>Odgovor</w:t>
      </w:r>
      <w:r w:rsidR="00AB39D4" w:rsidRPr="007F11EF">
        <w:rPr>
          <w:rFonts w:ascii="Tahoma" w:hAnsi="Tahoma" w:cs="Tahoma"/>
          <w:b/>
        </w:rPr>
        <w:t>i</w:t>
      </w:r>
      <w:r w:rsidRPr="007F11EF">
        <w:rPr>
          <w:rFonts w:ascii="Tahoma" w:hAnsi="Tahoma" w:cs="Tahoma"/>
          <w:b/>
        </w:rPr>
        <w:t xml:space="preserve"> Združenja bank na </w:t>
      </w:r>
      <w:r w:rsidR="003A473A" w:rsidRPr="007F11EF">
        <w:rPr>
          <w:rFonts w:ascii="Tahoma" w:hAnsi="Tahoma" w:cs="Tahoma"/>
          <w:b/>
        </w:rPr>
        <w:t>novinarsk</w:t>
      </w:r>
      <w:r w:rsidR="00BB67CA" w:rsidRPr="007F11EF">
        <w:rPr>
          <w:rFonts w:ascii="Tahoma" w:hAnsi="Tahoma" w:cs="Tahoma"/>
          <w:b/>
        </w:rPr>
        <w:t>a</w:t>
      </w:r>
      <w:r w:rsidR="003A473A" w:rsidRPr="007F11EF">
        <w:rPr>
          <w:rFonts w:ascii="Tahoma" w:hAnsi="Tahoma" w:cs="Tahoma"/>
          <w:b/>
        </w:rPr>
        <w:t xml:space="preserve"> </w:t>
      </w:r>
      <w:r w:rsidRPr="007F11EF">
        <w:rPr>
          <w:rFonts w:ascii="Tahoma" w:hAnsi="Tahoma" w:cs="Tahoma"/>
          <w:b/>
        </w:rPr>
        <w:t>vprašanj</w:t>
      </w:r>
      <w:r w:rsidR="00BB67CA" w:rsidRPr="007F11EF">
        <w:rPr>
          <w:rFonts w:ascii="Tahoma" w:hAnsi="Tahoma" w:cs="Tahoma"/>
          <w:b/>
        </w:rPr>
        <w:t xml:space="preserve">a </w:t>
      </w:r>
      <w:r w:rsidR="00E0163D" w:rsidRPr="007F11EF">
        <w:rPr>
          <w:rFonts w:ascii="Tahoma" w:hAnsi="Tahoma" w:cs="Tahoma"/>
          <w:b/>
        </w:rPr>
        <w:t xml:space="preserve">glede </w:t>
      </w:r>
      <w:r w:rsidR="00BC29F8">
        <w:rPr>
          <w:rFonts w:ascii="Tahoma" w:hAnsi="Tahoma" w:cs="Tahoma"/>
          <w:b/>
        </w:rPr>
        <w:t>kreditiranja prebivalstva</w:t>
      </w:r>
    </w:p>
    <w:p w14:paraId="5FCFED61" w14:textId="77777777" w:rsidR="00BB02A8" w:rsidRPr="007F11EF" w:rsidRDefault="00BB02A8" w:rsidP="007F11EF">
      <w:pPr>
        <w:jc w:val="both"/>
        <w:rPr>
          <w:rFonts w:ascii="Tahoma" w:hAnsi="Tahoma" w:cs="Tahoma"/>
          <w:b/>
          <w:bCs/>
        </w:rPr>
      </w:pPr>
    </w:p>
    <w:p w14:paraId="7F2D8469" w14:textId="77777777" w:rsidR="004830B9" w:rsidRPr="007F11EF" w:rsidRDefault="004830B9" w:rsidP="007F11EF">
      <w:pPr>
        <w:jc w:val="both"/>
        <w:rPr>
          <w:rFonts w:ascii="Tahoma" w:hAnsi="Tahoma" w:cs="Tahoma"/>
          <w:b/>
          <w:bCs/>
        </w:rPr>
      </w:pPr>
    </w:p>
    <w:p w14:paraId="1BE88638" w14:textId="4EC88F47" w:rsidR="006770C1" w:rsidRPr="007F11EF" w:rsidRDefault="003A473A" w:rsidP="007F11EF">
      <w:pPr>
        <w:jc w:val="both"/>
        <w:rPr>
          <w:rFonts w:ascii="Tahoma" w:hAnsi="Tahoma" w:cs="Tahoma"/>
        </w:rPr>
      </w:pPr>
      <w:r w:rsidRPr="007F11EF">
        <w:rPr>
          <w:rFonts w:ascii="Tahoma" w:hAnsi="Tahoma" w:cs="Tahoma"/>
          <w:b/>
          <w:bCs/>
        </w:rPr>
        <w:t>Vprašanj</w:t>
      </w:r>
      <w:r w:rsidR="00AD3E5F" w:rsidRPr="007F11EF">
        <w:rPr>
          <w:rFonts w:ascii="Tahoma" w:hAnsi="Tahoma" w:cs="Tahoma"/>
          <w:b/>
          <w:bCs/>
        </w:rPr>
        <w:t>a</w:t>
      </w:r>
      <w:r w:rsidRPr="007F11EF">
        <w:rPr>
          <w:rFonts w:ascii="Tahoma" w:hAnsi="Tahoma" w:cs="Tahoma"/>
        </w:rPr>
        <w:t xml:space="preserve">: </w:t>
      </w:r>
    </w:p>
    <w:p w14:paraId="76C47227" w14:textId="77777777" w:rsidR="00F622D0" w:rsidRPr="00391860" w:rsidRDefault="00F622D0" w:rsidP="007F11EF">
      <w:pPr>
        <w:pStyle w:val="ydp8696ca17msonormal"/>
        <w:spacing w:after="0" w:afterAutospacing="0"/>
        <w:jc w:val="both"/>
        <w:rPr>
          <w:rFonts w:ascii="Tahoma" w:hAnsi="Tahoma" w:cs="Tahoma"/>
        </w:rPr>
      </w:pPr>
      <w:r w:rsidRPr="00391860">
        <w:rPr>
          <w:rFonts w:ascii="Tahoma" w:hAnsi="Tahoma" w:cs="Tahoma"/>
        </w:rPr>
        <w:t>pripravljamo članek o stanovanjskih kreditih, za katere je trenutno menda še ugoden čas, pa bi vas prosil za nekaj odgovorov.</w:t>
      </w:r>
    </w:p>
    <w:p w14:paraId="07B5CA73" w14:textId="77777777" w:rsidR="00F622D0" w:rsidRPr="00391860" w:rsidRDefault="00F622D0" w:rsidP="00F622D0">
      <w:pPr>
        <w:pStyle w:val="ydp8696ca17msonormal"/>
        <w:numPr>
          <w:ilvl w:val="0"/>
          <w:numId w:val="21"/>
        </w:numPr>
        <w:spacing w:after="0" w:afterAutospacing="0"/>
        <w:jc w:val="both"/>
        <w:rPr>
          <w:rFonts w:ascii="Tahoma" w:hAnsi="Tahoma" w:cs="Tahoma"/>
          <w:b/>
          <w:bCs/>
        </w:rPr>
      </w:pPr>
      <w:r w:rsidRPr="00391860">
        <w:rPr>
          <w:rFonts w:ascii="Tahoma" w:hAnsi="Tahoma" w:cs="Tahoma"/>
        </w:rPr>
        <w:t xml:space="preserve">Je zdaj res moč ugodneje priti do takega kredita  in kakšne so glavne pasti pri tem? </w:t>
      </w:r>
    </w:p>
    <w:p w14:paraId="601A3E9D" w14:textId="77777777" w:rsidR="00F622D0" w:rsidRPr="00391860" w:rsidRDefault="00F622D0" w:rsidP="00F622D0">
      <w:pPr>
        <w:pStyle w:val="ydp8696ca17msonormal"/>
        <w:numPr>
          <w:ilvl w:val="0"/>
          <w:numId w:val="21"/>
        </w:numPr>
        <w:spacing w:after="0" w:afterAutospacing="0"/>
        <w:jc w:val="both"/>
        <w:rPr>
          <w:rFonts w:ascii="Tahoma" w:hAnsi="Tahoma" w:cs="Tahoma"/>
          <w:b/>
          <w:bCs/>
        </w:rPr>
      </w:pPr>
      <w:r w:rsidRPr="00391860">
        <w:rPr>
          <w:rFonts w:ascii="Tahoma" w:hAnsi="Tahoma" w:cs="Tahoma"/>
        </w:rPr>
        <w:t xml:space="preserve">Kaj običajno svetujete ljudem, ki se odločijo za tak kredit, na kaj vse morajo paziti? </w:t>
      </w:r>
    </w:p>
    <w:p w14:paraId="7392F638" w14:textId="77777777" w:rsidR="00F622D0" w:rsidRPr="00391860" w:rsidRDefault="00F622D0" w:rsidP="00F622D0">
      <w:pPr>
        <w:pStyle w:val="ydp8696ca17msonormal"/>
        <w:numPr>
          <w:ilvl w:val="0"/>
          <w:numId w:val="21"/>
        </w:numPr>
        <w:spacing w:after="0" w:afterAutospacing="0"/>
        <w:jc w:val="both"/>
        <w:rPr>
          <w:rFonts w:ascii="Tahoma" w:hAnsi="Tahoma" w:cs="Tahoma"/>
          <w:b/>
          <w:bCs/>
        </w:rPr>
      </w:pPr>
      <w:r w:rsidRPr="00391860">
        <w:rPr>
          <w:rFonts w:ascii="Tahoma" w:hAnsi="Tahoma" w:cs="Tahoma"/>
        </w:rPr>
        <w:t xml:space="preserve">Kakšna priporočila ali zahteve imajo po drugi strani banke do tistega, ki išče stanovanjski  kredit (starost, višina osebnega dohodka..).  </w:t>
      </w:r>
    </w:p>
    <w:p w14:paraId="62A435F0" w14:textId="77777777" w:rsidR="00F622D0" w:rsidRPr="00391860" w:rsidRDefault="00F622D0" w:rsidP="00F622D0">
      <w:pPr>
        <w:pStyle w:val="ydp8696ca17msonormal"/>
        <w:numPr>
          <w:ilvl w:val="0"/>
          <w:numId w:val="21"/>
        </w:numPr>
        <w:spacing w:after="0" w:afterAutospacing="0"/>
        <w:jc w:val="both"/>
        <w:rPr>
          <w:rFonts w:ascii="Tahoma" w:hAnsi="Tahoma" w:cs="Tahoma"/>
          <w:b/>
          <w:bCs/>
        </w:rPr>
      </w:pPr>
      <w:r w:rsidRPr="00391860">
        <w:rPr>
          <w:rFonts w:ascii="Tahoma" w:hAnsi="Tahoma" w:cs="Tahoma"/>
        </w:rPr>
        <w:t xml:space="preserve">Se je med slovenskimi kreditojemalci v zadnjih letih (tudi zaradi izkušnje s krediti v švicarskih frankih) kaj povečala osveščenost o tveganjih v zvezi s krediti? </w:t>
      </w:r>
    </w:p>
    <w:p w14:paraId="76AA2802" w14:textId="77777777" w:rsidR="00F622D0" w:rsidRPr="00391860" w:rsidRDefault="00F622D0" w:rsidP="00F622D0">
      <w:pPr>
        <w:pStyle w:val="ydp8696ca17msonormal"/>
        <w:numPr>
          <w:ilvl w:val="0"/>
          <w:numId w:val="21"/>
        </w:numPr>
        <w:spacing w:after="0" w:afterAutospacing="0"/>
        <w:jc w:val="both"/>
        <w:rPr>
          <w:rFonts w:ascii="Tahoma" w:hAnsi="Tahoma" w:cs="Tahoma"/>
          <w:b/>
          <w:bCs/>
        </w:rPr>
      </w:pPr>
      <w:r w:rsidRPr="00391860">
        <w:rPr>
          <w:rFonts w:ascii="Tahoma" w:hAnsi="Tahoma" w:cs="Tahoma"/>
        </w:rPr>
        <w:t xml:space="preserve">Se je delež stanovanjskih (in drugih) kreditov s fiksno obrestno mero v zadnjih letih kaj povečal ali smo pri tem še vedno pod povprečjem EU?  </w:t>
      </w:r>
    </w:p>
    <w:p w14:paraId="0CD01061" w14:textId="77777777" w:rsidR="00F622D0" w:rsidRPr="00391860" w:rsidRDefault="00F622D0" w:rsidP="00F622D0">
      <w:pPr>
        <w:pStyle w:val="ydp8696ca17msonormal"/>
        <w:numPr>
          <w:ilvl w:val="0"/>
          <w:numId w:val="21"/>
        </w:numPr>
        <w:spacing w:after="0" w:afterAutospacing="0"/>
        <w:jc w:val="both"/>
        <w:rPr>
          <w:rFonts w:ascii="Tahoma" w:hAnsi="Tahoma" w:cs="Tahoma"/>
          <w:b/>
          <w:bCs/>
        </w:rPr>
      </w:pPr>
      <w:r w:rsidRPr="00391860">
        <w:rPr>
          <w:rFonts w:ascii="Tahoma" w:hAnsi="Tahoma" w:cs="Tahoma"/>
        </w:rPr>
        <w:t>Ali omejitve banke Slovenije pri potrošniških kreditih kakorkoli vplivajo na povpraševanje po stanovanjskih kreditih, so glede tega kakšne druge ovire?  Tu bi mogoče lahko omenili še vpliv nove minimalne plače na kredite in kakšen nov izračun, ki ste ga omenjali.</w:t>
      </w:r>
    </w:p>
    <w:p w14:paraId="2AD25EA7" w14:textId="2511121C" w:rsidR="00D002F6" w:rsidRPr="007F11EF" w:rsidRDefault="00D002F6" w:rsidP="00F622D0">
      <w:pPr>
        <w:pStyle w:val="ydp8696ca17msonormal"/>
        <w:spacing w:after="0" w:afterAutospacing="0"/>
        <w:jc w:val="both"/>
        <w:rPr>
          <w:rFonts w:ascii="Tahoma" w:hAnsi="Tahoma" w:cs="Tahoma"/>
          <w:b/>
          <w:bCs/>
        </w:rPr>
      </w:pPr>
      <w:r w:rsidRPr="007F11EF">
        <w:rPr>
          <w:rFonts w:ascii="Tahoma" w:hAnsi="Tahoma" w:cs="Tahoma"/>
          <w:b/>
          <w:bCs/>
        </w:rPr>
        <w:t xml:space="preserve">Odgovor ZBS: </w:t>
      </w:r>
    </w:p>
    <w:p w14:paraId="5FCF3287" w14:textId="1BE2CE13" w:rsidR="00D002F6" w:rsidRPr="007F11EF" w:rsidRDefault="00D002F6" w:rsidP="007F11EF">
      <w:pPr>
        <w:jc w:val="both"/>
        <w:rPr>
          <w:rFonts w:ascii="Tahoma" w:eastAsia="Times New Roman" w:hAnsi="Tahoma" w:cs="Tahoma"/>
        </w:rPr>
      </w:pPr>
    </w:p>
    <w:p w14:paraId="3D8C8A13" w14:textId="77777777" w:rsidR="00A43D2F" w:rsidRPr="00E519D5" w:rsidRDefault="00A43D2F" w:rsidP="00391860">
      <w:pPr>
        <w:jc w:val="both"/>
        <w:rPr>
          <w:rFonts w:ascii="Tahoma" w:hAnsi="Tahoma" w:cs="Tahoma"/>
        </w:rPr>
      </w:pPr>
      <w:r w:rsidRPr="00E07E5D">
        <w:rPr>
          <w:rFonts w:ascii="Tahoma" w:eastAsia="Times New Roman" w:hAnsi="Tahoma" w:cs="Tahoma"/>
        </w:rPr>
        <w:t xml:space="preserve">Kadar želimo nakup želenega izdelka financirati s kreditom, se zmeraj vprašajmo, ali se je za nakup smiselno zadolžiti. Kredit je smiselno najeti takrat, ko gre za nakup, ki bo za vas koristen na daljši rok (npr. nakup stanovanja, pohištva, avtomobila …). </w:t>
      </w:r>
      <w:r w:rsidRPr="00E519D5">
        <w:rPr>
          <w:rFonts w:ascii="Tahoma" w:eastAsia="Times New Roman" w:hAnsi="Tahoma" w:cs="Tahoma"/>
        </w:rPr>
        <w:t xml:space="preserve">Kredit ima dolgoročen vpliv na </w:t>
      </w:r>
      <w:r w:rsidRPr="00123097">
        <w:rPr>
          <w:rFonts w:ascii="Tahoma" w:eastAsia="Times New Roman" w:hAnsi="Tahoma" w:cs="Tahoma"/>
        </w:rPr>
        <w:t>osebne finance</w:t>
      </w:r>
      <w:r w:rsidRPr="00E519D5">
        <w:rPr>
          <w:rFonts w:ascii="Tahoma" w:eastAsia="Times New Roman" w:hAnsi="Tahoma" w:cs="Tahoma"/>
        </w:rPr>
        <w:t xml:space="preserve"> kreditojemalca</w:t>
      </w:r>
      <w:r w:rsidRPr="00123097">
        <w:rPr>
          <w:rFonts w:ascii="Tahoma" w:eastAsia="Times New Roman" w:hAnsi="Tahoma" w:cs="Tahoma"/>
        </w:rPr>
        <w:t xml:space="preserve">, zato je pomembno, da se </w:t>
      </w:r>
      <w:proofErr w:type="spellStart"/>
      <w:r w:rsidRPr="00E519D5">
        <w:rPr>
          <w:rFonts w:ascii="Tahoma" w:eastAsia="Times New Roman" w:hAnsi="Tahoma" w:cs="Tahoma"/>
        </w:rPr>
        <w:t>se</w:t>
      </w:r>
      <w:proofErr w:type="spellEnd"/>
      <w:r w:rsidRPr="00E519D5">
        <w:rPr>
          <w:rFonts w:ascii="Tahoma" w:eastAsia="Times New Roman" w:hAnsi="Tahoma" w:cs="Tahoma"/>
        </w:rPr>
        <w:t xml:space="preserve"> le-ta še pred najemom kredita dobro informira o pogojih najema</w:t>
      </w:r>
      <w:r w:rsidRPr="00123097">
        <w:rPr>
          <w:rFonts w:ascii="Tahoma" w:eastAsia="Times New Roman" w:hAnsi="Tahoma" w:cs="Tahoma"/>
        </w:rPr>
        <w:t>.</w:t>
      </w:r>
      <w:r w:rsidRPr="00E519D5">
        <w:rPr>
          <w:rFonts w:ascii="Tahoma" w:eastAsia="Times New Roman" w:hAnsi="Tahoma" w:cs="Tahoma"/>
        </w:rPr>
        <w:t xml:space="preserve"> </w:t>
      </w:r>
      <w:r w:rsidRPr="00E519D5">
        <w:rPr>
          <w:rFonts w:ascii="Tahoma" w:hAnsi="Tahoma" w:cs="Tahoma"/>
        </w:rPr>
        <w:t xml:space="preserve">Spletne strani bank in hranilnic (v nadaljevanju banke) ponujajo koristne informacije o kreditih in informativne izračune. </w:t>
      </w:r>
      <w:r w:rsidRPr="00E519D5">
        <w:rPr>
          <w:rFonts w:ascii="Tahoma" w:eastAsia="Times New Roman" w:hAnsi="Tahoma" w:cs="Tahoma"/>
        </w:rPr>
        <w:t xml:space="preserve">Svetovalci v bankah in hranilnicah so vam ob obisku poslovalnice na voljo za pojasnila oziroma razlago. </w:t>
      </w:r>
      <w:r w:rsidRPr="00E519D5">
        <w:rPr>
          <w:rFonts w:ascii="Tahoma" w:hAnsi="Tahoma" w:cs="Tahoma"/>
        </w:rPr>
        <w:t>Posebej je potrebno biti pozoren na vse stroške kredita, kot so obrestna mera, stroški odobritve, stroški vodenja kredita, plačilo zavarovalne premije. Pozorno  je potrebno prebr</w:t>
      </w:r>
      <w:r>
        <w:rPr>
          <w:rFonts w:ascii="Tahoma" w:hAnsi="Tahoma" w:cs="Tahoma"/>
        </w:rPr>
        <w:t>a</w:t>
      </w:r>
      <w:r w:rsidRPr="00E519D5">
        <w:rPr>
          <w:rFonts w:ascii="Tahoma" w:hAnsi="Tahoma" w:cs="Tahoma"/>
        </w:rPr>
        <w:t>ti </w:t>
      </w:r>
      <w:r w:rsidRPr="007A0C33">
        <w:rPr>
          <w:rStyle w:val="Strong"/>
          <w:rFonts w:ascii="Tahoma" w:hAnsi="Tahoma" w:cs="Tahoma"/>
          <w:b w:val="0"/>
          <w:bCs w:val="0"/>
        </w:rPr>
        <w:t>standardne predhodne informacije in kreditno pogodbo in se seznaniti z vsebino</w:t>
      </w:r>
      <w:r w:rsidRPr="00E519D5">
        <w:rPr>
          <w:rStyle w:val="Strong"/>
          <w:rFonts w:ascii="Tahoma" w:hAnsi="Tahoma" w:cs="Tahoma"/>
        </w:rPr>
        <w:t>.</w:t>
      </w:r>
      <w:r w:rsidRPr="00E519D5">
        <w:rPr>
          <w:rFonts w:ascii="Tahoma" w:hAnsi="Tahoma" w:cs="Tahoma"/>
        </w:rPr>
        <w:t> Če vas zanimajo podrobnosti, vprašajte bančnega strokovnjaka, da vam bo podal obrazložitve. </w:t>
      </w:r>
    </w:p>
    <w:p w14:paraId="5399DD82" w14:textId="77777777" w:rsidR="00A43D2F" w:rsidRPr="00E519D5" w:rsidRDefault="00A43D2F" w:rsidP="00391860">
      <w:pPr>
        <w:jc w:val="both"/>
        <w:rPr>
          <w:rFonts w:ascii="Tahoma" w:hAnsi="Tahoma" w:cs="Tahoma"/>
        </w:rPr>
      </w:pPr>
    </w:p>
    <w:p w14:paraId="50D39F90" w14:textId="77777777" w:rsidR="00A43D2F" w:rsidRPr="00E519D5" w:rsidRDefault="00A43D2F" w:rsidP="00391860">
      <w:pPr>
        <w:jc w:val="both"/>
        <w:rPr>
          <w:rFonts w:ascii="Tahoma" w:eastAsia="Times New Roman" w:hAnsi="Tahoma" w:cs="Tahoma"/>
        </w:rPr>
      </w:pPr>
      <w:r w:rsidRPr="00E519D5">
        <w:rPr>
          <w:rFonts w:ascii="Tahoma" w:eastAsia="Times New Roman" w:hAnsi="Tahoma" w:cs="Tahoma"/>
        </w:rPr>
        <w:t xml:space="preserve">Banke so v skladu z Zakonom o potrošniških kreditih (ZPotK-2) in smernicami evropskega bančnega organa EBA dolžne oceniti kreditno sposobnost kreditojemalca. </w:t>
      </w:r>
      <w:r w:rsidRPr="00E519D5">
        <w:rPr>
          <w:rFonts w:ascii="Tahoma" w:hAnsi="Tahoma" w:cs="Tahoma"/>
        </w:rPr>
        <w:t xml:space="preserve">Preverjanje kreditne sposobnosti pomeni: preverjanje višine mesečnih prilivov iz naslova plače, pokojnine ali dohodka dejavnosti; preverjanje vaših mesečnih odhodkov iz naslova obstoječih kreditnih obveznosti (krediti, </w:t>
      </w:r>
      <w:proofErr w:type="spellStart"/>
      <w:r w:rsidRPr="00E519D5">
        <w:rPr>
          <w:rFonts w:ascii="Tahoma" w:hAnsi="Tahoma" w:cs="Tahoma"/>
        </w:rPr>
        <w:t>lizingi</w:t>
      </w:r>
      <w:proofErr w:type="spellEnd"/>
      <w:r w:rsidRPr="00E519D5">
        <w:rPr>
          <w:rFonts w:ascii="Tahoma" w:hAnsi="Tahoma" w:cs="Tahoma"/>
        </w:rPr>
        <w:t xml:space="preserve">, dovoljene prekoračitve, kreditne kartice, osebna poroštva);  preverjanje življenjskih stroškov (stroški gospodinjstva, vzdrževani družinski člani). </w:t>
      </w:r>
      <w:r w:rsidRPr="00E519D5">
        <w:rPr>
          <w:rFonts w:ascii="Tahoma" w:eastAsia="Times New Roman" w:hAnsi="Tahoma" w:cs="Tahoma"/>
        </w:rPr>
        <w:t xml:space="preserve">Prav tako je po drugi strani pomembno, da se je zaveda tudi kreditojemalec, ki bo moral kljub najemu kredita še naprej poravnavati tudi vse svoje ostale mesečne obveznosti. Pomembno pri tem je, da mu stopnja zadolženosti omogoča, da kljub kreditu, ki ga redno plačuje, pri tem bistveno ne poslabša svojega življenjskega sloga. </w:t>
      </w:r>
    </w:p>
    <w:p w14:paraId="619D4142" w14:textId="77777777" w:rsidR="00A43D2F" w:rsidRPr="00E519D5" w:rsidRDefault="00A43D2F" w:rsidP="00A43D2F">
      <w:pPr>
        <w:rPr>
          <w:rFonts w:ascii="Tahoma" w:hAnsi="Tahoma" w:cs="Tahoma"/>
        </w:rPr>
      </w:pPr>
    </w:p>
    <w:p w14:paraId="68DD7B08" w14:textId="77777777" w:rsidR="00A43D2F" w:rsidRPr="00E519D5" w:rsidRDefault="00A43D2F" w:rsidP="00A43D2F">
      <w:pPr>
        <w:jc w:val="both"/>
        <w:rPr>
          <w:rFonts w:ascii="Tahoma" w:hAnsi="Tahoma" w:cs="Tahoma"/>
        </w:rPr>
      </w:pPr>
      <w:r w:rsidRPr="00E519D5">
        <w:rPr>
          <w:rFonts w:ascii="Tahoma" w:hAnsi="Tahoma" w:cs="Tahoma"/>
        </w:rPr>
        <w:lastRenderedPageBreak/>
        <w:t>Ena pomembnejših odločitev pred najemom kredita je seznanitev s stroški oziroma ceno kredita</w:t>
      </w:r>
      <w:r>
        <w:rPr>
          <w:rFonts w:ascii="Tahoma" w:hAnsi="Tahoma" w:cs="Tahoma"/>
        </w:rPr>
        <w:t xml:space="preserve">, </w:t>
      </w:r>
      <w:proofErr w:type="spellStart"/>
      <w:r>
        <w:rPr>
          <w:rFonts w:ascii="Tahoma" w:hAnsi="Tahoma" w:cs="Tahoma"/>
        </w:rPr>
        <w:t>t.j</w:t>
      </w:r>
      <w:proofErr w:type="spellEnd"/>
      <w:r>
        <w:rPr>
          <w:rFonts w:ascii="Tahoma" w:hAnsi="Tahoma" w:cs="Tahoma"/>
        </w:rPr>
        <w:t xml:space="preserve"> efektivno obrestno mero (EOM)</w:t>
      </w:r>
      <w:r w:rsidRPr="00E519D5">
        <w:rPr>
          <w:rFonts w:ascii="Tahoma" w:hAnsi="Tahoma" w:cs="Tahoma"/>
        </w:rPr>
        <w:t xml:space="preserve">. Gre za dejansko ceno kredita in je prikazana kot skupni strošek kredita, ki vključuje obresti in vse bančne stroške, kot so stroški odobritve in zavarovanja kredita, stroški vodenja kredita in druge. </w:t>
      </w:r>
      <w:r w:rsidRPr="00D57328">
        <w:rPr>
          <w:rFonts w:ascii="Tahoma" w:eastAsia="Times New Roman" w:hAnsi="Tahoma" w:cs="Tahoma"/>
        </w:rPr>
        <w:t>V izračun EOM niso vključeni stroški, ki so povezani z odplačevanjem kredita in ob sklenitvi kredita še niso znani, kot na primer:</w:t>
      </w:r>
      <w:r w:rsidRPr="00E519D5">
        <w:rPr>
          <w:rFonts w:ascii="Tahoma" w:eastAsia="Times New Roman" w:hAnsi="Tahoma" w:cs="Tahoma"/>
        </w:rPr>
        <w:t xml:space="preserve"> </w:t>
      </w:r>
      <w:r>
        <w:rPr>
          <w:rFonts w:ascii="Tahoma" w:eastAsia="Times New Roman" w:hAnsi="Tahoma" w:cs="Tahoma"/>
        </w:rPr>
        <w:t xml:space="preserve">stroški, </w:t>
      </w:r>
      <w:r w:rsidRPr="00D57328">
        <w:rPr>
          <w:rFonts w:ascii="Tahoma" w:eastAsia="Times New Roman" w:hAnsi="Tahoma" w:cs="Tahoma"/>
        </w:rPr>
        <w:t>povezani s kreditno pogodbo za nepremičnino (notarski stroški, stroški cenitve nepremičnine, stroški zavarovanja zastavljenega premoženja pri zavarovalnici …)</w:t>
      </w:r>
      <w:r w:rsidRPr="00E519D5">
        <w:rPr>
          <w:rFonts w:ascii="Tahoma" w:eastAsia="Times New Roman" w:hAnsi="Tahoma" w:cs="Tahoma"/>
        </w:rPr>
        <w:t>.</w:t>
      </w:r>
      <w:r>
        <w:rPr>
          <w:rFonts w:ascii="Tahoma" w:eastAsia="Times New Roman" w:hAnsi="Tahoma" w:cs="Tahoma"/>
        </w:rPr>
        <w:t xml:space="preserve"> </w:t>
      </w:r>
      <w:r w:rsidRPr="00E519D5">
        <w:rPr>
          <w:rFonts w:ascii="Tahoma" w:hAnsi="Tahoma" w:cs="Tahoma"/>
        </w:rPr>
        <w:t xml:space="preserve">Zato je pomembno, da </w:t>
      </w:r>
      <w:r>
        <w:rPr>
          <w:rFonts w:ascii="Tahoma" w:hAnsi="Tahoma" w:cs="Tahoma"/>
        </w:rPr>
        <w:t>kreditojemalec preveri</w:t>
      </w:r>
      <w:r w:rsidRPr="00E519D5">
        <w:rPr>
          <w:rFonts w:ascii="Tahoma" w:hAnsi="Tahoma" w:cs="Tahoma"/>
        </w:rPr>
        <w:t xml:space="preserve"> različne ponudbe bank, primerjajte pa podatek o efektivni obrestni meri (EOM) in višini anuitete.</w:t>
      </w:r>
    </w:p>
    <w:p w14:paraId="13C5DDFE" w14:textId="77777777" w:rsidR="00A43D2F" w:rsidRPr="00E519D5" w:rsidRDefault="00A43D2F" w:rsidP="00A43D2F">
      <w:pPr>
        <w:pStyle w:val="NormalWeb"/>
        <w:spacing w:before="0" w:beforeAutospacing="0" w:after="0" w:afterAutospacing="0"/>
        <w:jc w:val="both"/>
        <w:rPr>
          <w:rFonts w:ascii="Tahoma" w:hAnsi="Tahoma" w:cs="Tahoma"/>
        </w:rPr>
      </w:pPr>
      <w:r w:rsidRPr="00E519D5">
        <w:rPr>
          <w:rFonts w:ascii="Tahoma" w:hAnsi="Tahoma" w:cs="Tahoma"/>
          <w:sz w:val="22"/>
          <w:szCs w:val="22"/>
        </w:rPr>
        <w:br/>
        <w:t xml:space="preserve">Glede na dolžino odplačilne dobe je pomembna tudi odločitev glede obrestne mere. </w:t>
      </w:r>
      <w:r w:rsidRPr="00123097">
        <w:rPr>
          <w:rFonts w:ascii="Tahoma" w:hAnsi="Tahoma" w:cs="Tahoma"/>
          <w:sz w:val="22"/>
          <w:szCs w:val="22"/>
        </w:rPr>
        <w:t>Nespremenljiva obrestna mera je tista, ki ostane nespremenjena ves čas trajanja kreditne pogodbe, zato je mesečna obveznost v celotnem obdobju odplačevanja kredita enaka. Praviloma je višja od spremenljive, kar pomeni, da je mesečna obveznost kredita ob podpisu pogodbe višja, kot bi bila pri kreditu s spremenljivo obrestno mero, a se ta obveznost ne more nikoli zvišati (pa tudi ne znižati).</w:t>
      </w:r>
      <w:r w:rsidRPr="00E519D5">
        <w:rPr>
          <w:rFonts w:ascii="Tahoma" w:hAnsi="Tahoma" w:cs="Tahoma"/>
          <w:sz w:val="22"/>
          <w:szCs w:val="22"/>
        </w:rPr>
        <w:t xml:space="preserve"> </w:t>
      </w:r>
      <w:r w:rsidRPr="00123097">
        <w:rPr>
          <w:rFonts w:ascii="Tahoma" w:hAnsi="Tahoma" w:cs="Tahoma"/>
          <w:sz w:val="22"/>
          <w:szCs w:val="22"/>
        </w:rPr>
        <w:t>Pri kreditu s spremenljivo obrestno mero je mesečna obveznost na začetku odplačevanja običajno nižja kot mesečna obveznost pri nespremenljivi obrestni meri, se pa lahko v času trajanja kreditne pogodbe spreminja. Spremenljiva obrestna mera je namreč seštevek fiksnega pribitka in referenčne obrestne mere EURIBOR. To pomeni, da se lahko zvišuje, a tudi znižuje, zato je pri sklepanju pogodbe treba računati na morebitne višje mesečne obveznosti</w:t>
      </w:r>
      <w:r w:rsidRPr="00E519D5">
        <w:rPr>
          <w:rFonts w:ascii="Tahoma" w:hAnsi="Tahoma" w:cs="Tahoma"/>
          <w:sz w:val="22"/>
          <w:szCs w:val="22"/>
        </w:rPr>
        <w:t xml:space="preserve">. Pri odločitvi katero </w:t>
      </w:r>
      <w:r w:rsidRPr="00123097">
        <w:rPr>
          <w:rFonts w:ascii="Tahoma" w:hAnsi="Tahoma" w:cs="Tahoma"/>
          <w:sz w:val="22"/>
          <w:szCs w:val="22"/>
        </w:rPr>
        <w:t>obrestno mero pri kreditu izbrati</w:t>
      </w:r>
      <w:r w:rsidRPr="00E519D5">
        <w:rPr>
          <w:rFonts w:ascii="Tahoma" w:hAnsi="Tahoma" w:cs="Tahoma"/>
          <w:sz w:val="22"/>
          <w:szCs w:val="22"/>
        </w:rPr>
        <w:t xml:space="preserve"> je potrebno upoštevati</w:t>
      </w:r>
      <w:r w:rsidRPr="00123097">
        <w:rPr>
          <w:rFonts w:ascii="Tahoma" w:hAnsi="Tahoma" w:cs="Tahoma"/>
          <w:sz w:val="22"/>
          <w:szCs w:val="22"/>
        </w:rPr>
        <w:t xml:space="preserve"> znesek kredita</w:t>
      </w:r>
      <w:r w:rsidRPr="00E519D5">
        <w:rPr>
          <w:rFonts w:ascii="Tahoma" w:hAnsi="Tahoma" w:cs="Tahoma"/>
          <w:sz w:val="22"/>
          <w:szCs w:val="22"/>
        </w:rPr>
        <w:t xml:space="preserve"> in</w:t>
      </w:r>
      <w:r w:rsidRPr="00123097">
        <w:rPr>
          <w:rFonts w:ascii="Tahoma" w:hAnsi="Tahoma" w:cs="Tahoma"/>
          <w:sz w:val="22"/>
          <w:szCs w:val="22"/>
        </w:rPr>
        <w:t xml:space="preserve"> ročnost kredita. </w:t>
      </w:r>
      <w:r w:rsidRPr="00E519D5">
        <w:rPr>
          <w:rFonts w:ascii="Tahoma" w:hAnsi="Tahoma" w:cs="Tahoma"/>
          <w:sz w:val="22"/>
          <w:szCs w:val="22"/>
        </w:rPr>
        <w:t xml:space="preserve">Velika večina dolgoročnih stanovanjskih kreditov je odobrena s fiksno obrestno mero. </w:t>
      </w:r>
    </w:p>
    <w:p w14:paraId="28E204F5" w14:textId="77777777" w:rsidR="00A43D2F" w:rsidRPr="00E519D5" w:rsidRDefault="00A43D2F" w:rsidP="00A43D2F">
      <w:pPr>
        <w:rPr>
          <w:rFonts w:ascii="Tahoma" w:eastAsia="Times New Roman" w:hAnsi="Tahoma" w:cs="Tahoma"/>
        </w:rPr>
      </w:pPr>
    </w:p>
    <w:p w14:paraId="01E500E0" w14:textId="77777777" w:rsidR="00A43D2F" w:rsidRPr="009363B6" w:rsidRDefault="00A43D2F" w:rsidP="00A43D2F">
      <w:pPr>
        <w:pStyle w:val="NormalWeb"/>
        <w:spacing w:before="0" w:beforeAutospacing="0" w:after="0" w:afterAutospacing="0"/>
        <w:jc w:val="both"/>
        <w:rPr>
          <w:rFonts w:ascii="Tahoma" w:hAnsi="Tahoma" w:cs="Tahoma"/>
          <w:sz w:val="22"/>
          <w:szCs w:val="22"/>
        </w:rPr>
      </w:pPr>
      <w:r w:rsidRPr="00E519D5">
        <w:rPr>
          <w:rFonts w:ascii="Tahoma" w:hAnsi="Tahoma" w:cs="Tahoma"/>
          <w:sz w:val="22"/>
          <w:szCs w:val="22"/>
        </w:rPr>
        <w:t>Kreditojemalec ima</w:t>
      </w:r>
      <w:r w:rsidRPr="009363B6">
        <w:rPr>
          <w:rFonts w:ascii="Tahoma" w:hAnsi="Tahoma" w:cs="Tahoma"/>
          <w:sz w:val="22"/>
          <w:szCs w:val="22"/>
        </w:rPr>
        <w:t xml:space="preserve"> dolžnost plačevati kredit v skladu s kreditno pogodbo. Poravnava obveznosti iz naslova kreditne pogodbe izven dogovorjenega roka plačila mesečne obveznosti (anuitete ali obroka) lahko pripelje do zamud. V takem primeru se znesek zapadlih neplačanih obveznosti obrestuje po zakonski zamudni obrestni meri, nastanejo pa tudi dodatni stroški iz naslova opominjanja in drugi stroški, ki bi nastali zaradi nerednega odplačevanja obveznosti po kreditni pogodbi (odvetniški stroški, sodni ali drugi stroški) in jih bo banka</w:t>
      </w:r>
      <w:r w:rsidRPr="00E519D5">
        <w:rPr>
          <w:rFonts w:ascii="Tahoma" w:hAnsi="Tahoma" w:cs="Tahoma"/>
          <w:sz w:val="22"/>
          <w:szCs w:val="22"/>
        </w:rPr>
        <w:t xml:space="preserve"> zračunala</w:t>
      </w:r>
      <w:r w:rsidRPr="009363B6">
        <w:rPr>
          <w:rFonts w:ascii="Tahoma" w:hAnsi="Tahoma" w:cs="Tahoma"/>
          <w:sz w:val="22"/>
          <w:szCs w:val="22"/>
        </w:rPr>
        <w:t xml:space="preserve"> kreditojemalcu.</w:t>
      </w:r>
    </w:p>
    <w:p w14:paraId="495F4AFF" w14:textId="77777777" w:rsidR="00A43D2F" w:rsidRDefault="00A43D2F" w:rsidP="00A43D2F">
      <w:pPr>
        <w:rPr>
          <w:rFonts w:ascii="Tahoma" w:eastAsia="Times New Roman" w:hAnsi="Tahoma" w:cs="Tahoma"/>
        </w:rPr>
      </w:pPr>
    </w:p>
    <w:p w14:paraId="30D4A8A1" w14:textId="75A28EA9" w:rsidR="00A43D2F" w:rsidRDefault="00A43D2F" w:rsidP="00A43D2F">
      <w:pPr>
        <w:jc w:val="both"/>
        <w:rPr>
          <w:rFonts w:ascii="Tahoma" w:hAnsi="Tahoma" w:cs="Tahoma"/>
        </w:rPr>
      </w:pPr>
      <w:r w:rsidRPr="00E519D5">
        <w:rPr>
          <w:rFonts w:ascii="Tahoma" w:eastAsia="Times New Roman" w:hAnsi="Tahoma" w:cs="Tahoma"/>
        </w:rPr>
        <w:t>Pri tem velja posebej opozoriti, da se mora potrošnik v</w:t>
      </w:r>
      <w:r w:rsidRPr="009363B6">
        <w:rPr>
          <w:rFonts w:ascii="Tahoma" w:eastAsia="Times New Roman" w:hAnsi="Tahoma" w:cs="Tahoma"/>
        </w:rPr>
        <w:t xml:space="preserve"> primeru težav z odplačevanjem kredita</w:t>
      </w:r>
      <w:r w:rsidRPr="00E519D5">
        <w:rPr>
          <w:rFonts w:ascii="Tahoma" w:eastAsia="Times New Roman" w:hAnsi="Tahoma" w:cs="Tahoma"/>
        </w:rPr>
        <w:t xml:space="preserve"> (zaradi izgube zaposlitve, daljše bolniške odsotnosti z dela ipd.)</w:t>
      </w:r>
      <w:r w:rsidRPr="009363B6">
        <w:rPr>
          <w:rFonts w:ascii="Tahoma" w:eastAsia="Times New Roman" w:hAnsi="Tahoma" w:cs="Tahoma"/>
        </w:rPr>
        <w:t xml:space="preserve"> nemudoma </w:t>
      </w:r>
      <w:r w:rsidRPr="00E519D5">
        <w:rPr>
          <w:rFonts w:ascii="Tahoma" w:eastAsia="Times New Roman" w:hAnsi="Tahoma" w:cs="Tahoma"/>
        </w:rPr>
        <w:t>obrniti na</w:t>
      </w:r>
      <w:r w:rsidRPr="009363B6">
        <w:rPr>
          <w:rFonts w:ascii="Tahoma" w:eastAsia="Times New Roman" w:hAnsi="Tahoma" w:cs="Tahoma"/>
        </w:rPr>
        <w:t xml:space="preserve"> banko.</w:t>
      </w:r>
      <w:r w:rsidRPr="00E519D5">
        <w:rPr>
          <w:rFonts w:ascii="Tahoma" w:eastAsia="Times New Roman" w:hAnsi="Tahoma" w:cs="Tahoma"/>
        </w:rPr>
        <w:t xml:space="preserve"> </w:t>
      </w:r>
      <w:r w:rsidRPr="0035050F">
        <w:rPr>
          <w:rFonts w:ascii="Tahoma" w:eastAsia="Times New Roman" w:hAnsi="Tahoma" w:cs="Tahoma"/>
        </w:rPr>
        <w:t>Zaradi</w:t>
      </w:r>
      <w:r w:rsidRPr="009363B6">
        <w:rPr>
          <w:rFonts w:ascii="Tahoma" w:eastAsia="Times New Roman" w:hAnsi="Tahoma" w:cs="Tahoma"/>
        </w:rPr>
        <w:t xml:space="preserve"> neizpolnjevanja obveznosti iz kreditne pogodbe za nepremičnino</w:t>
      </w:r>
      <w:r w:rsidRPr="0035050F">
        <w:rPr>
          <w:rFonts w:ascii="Tahoma" w:eastAsia="Times New Roman" w:hAnsi="Tahoma" w:cs="Tahoma"/>
        </w:rPr>
        <w:t xml:space="preserve"> banka</w:t>
      </w:r>
      <w:r w:rsidRPr="009363B6">
        <w:rPr>
          <w:rFonts w:ascii="Tahoma" w:eastAsia="Times New Roman" w:hAnsi="Tahoma" w:cs="Tahoma"/>
        </w:rPr>
        <w:t xml:space="preserve"> lahko</w:t>
      </w:r>
      <w:r w:rsidRPr="00E519D5">
        <w:rPr>
          <w:rFonts w:ascii="Tahoma" w:eastAsia="Times New Roman" w:hAnsi="Tahoma" w:cs="Tahoma"/>
        </w:rPr>
        <w:t xml:space="preserve"> odstopi</w:t>
      </w:r>
      <w:r w:rsidRPr="009363B6">
        <w:rPr>
          <w:rFonts w:ascii="Tahoma" w:eastAsia="Times New Roman" w:hAnsi="Tahoma" w:cs="Tahoma"/>
        </w:rPr>
        <w:t xml:space="preserve"> od kreditne pogodbe za nepremičnino odstopi z enostransko izjavo in zahteva plačilo preostalih obveznosti pred njihovo zapadlostjo</w:t>
      </w:r>
      <w:r w:rsidRPr="00E519D5">
        <w:rPr>
          <w:rFonts w:ascii="Tahoma" w:eastAsia="Times New Roman" w:hAnsi="Tahoma" w:cs="Tahoma"/>
        </w:rPr>
        <w:t>. To na podlagi ZPotK-2 lahko stori</w:t>
      </w:r>
      <w:r w:rsidRPr="009363B6">
        <w:rPr>
          <w:rFonts w:ascii="Tahoma" w:eastAsia="Times New Roman" w:hAnsi="Tahoma" w:cs="Tahoma"/>
        </w:rPr>
        <w:t xml:space="preserve"> v primeru, ko kreditojemalec zamuja s plačilom dveh zaporednih mesečnih obveznosti (anuiteta ali obrok) in z minimalno vrednostjo 3 % preostalega zneska kredita. Neizpolnjevanje kreditnih obveznosti iz naslova kreditne pogodbe lahko privede do izgube zastavljene nepremičnine.</w:t>
      </w:r>
      <w:r w:rsidRPr="00E519D5">
        <w:rPr>
          <w:rFonts w:ascii="Tahoma" w:eastAsia="Times New Roman" w:hAnsi="Tahoma" w:cs="Tahoma"/>
        </w:rPr>
        <w:t xml:space="preserve"> Če se potrošnik dovolj hitro (še pred nastankom zamude plačil) obrne na banko, lahko za nastalo situacijo skupaj z banko poišče </w:t>
      </w:r>
      <w:r w:rsidRPr="009363B6">
        <w:rPr>
          <w:rFonts w:ascii="Tahoma" w:eastAsia="Times New Roman" w:hAnsi="Tahoma" w:cs="Tahoma"/>
        </w:rPr>
        <w:t>najprimernejšo rešitev, ki bo sprejemljiva za obe strani.</w:t>
      </w:r>
      <w:r w:rsidRPr="00E519D5">
        <w:rPr>
          <w:rFonts w:ascii="Tahoma" w:eastAsia="Times New Roman" w:hAnsi="Tahoma" w:cs="Tahoma"/>
        </w:rPr>
        <w:t xml:space="preserve"> V takem primeru so na voljo praviloma različne možnosti (začasni moratorij na odplačilo kredita, sprememba višine anuitete, sprememba datuma odplačevanja idr.)</w:t>
      </w:r>
      <w:r w:rsidR="007A0C33">
        <w:rPr>
          <w:rFonts w:ascii="Tahoma" w:eastAsia="Times New Roman" w:hAnsi="Tahoma" w:cs="Tahoma"/>
        </w:rPr>
        <w:t>.</w:t>
      </w:r>
    </w:p>
    <w:p w14:paraId="231A2866" w14:textId="77777777" w:rsidR="00A43D2F" w:rsidRDefault="00A43D2F" w:rsidP="007F11EF">
      <w:pPr>
        <w:jc w:val="both"/>
        <w:rPr>
          <w:rFonts w:ascii="Tahoma" w:hAnsi="Tahoma" w:cs="Tahoma"/>
        </w:rPr>
      </w:pPr>
    </w:p>
    <w:p w14:paraId="4D8B4F31" w14:textId="6955FEBB" w:rsidR="00BF2A68" w:rsidRPr="007F11EF" w:rsidRDefault="00225CFA" w:rsidP="007F11EF">
      <w:pPr>
        <w:jc w:val="both"/>
        <w:rPr>
          <w:rFonts w:ascii="Tahoma" w:hAnsi="Tahoma" w:cs="Tahoma"/>
        </w:rPr>
      </w:pPr>
      <w:r w:rsidRPr="007F11EF">
        <w:rPr>
          <w:rFonts w:ascii="Tahoma" w:hAnsi="Tahoma" w:cs="Tahoma"/>
        </w:rPr>
        <w:t xml:space="preserve">Ne glede na </w:t>
      </w:r>
      <w:r w:rsidR="00531987" w:rsidRPr="007F11EF">
        <w:rPr>
          <w:rFonts w:ascii="Tahoma" w:hAnsi="Tahoma" w:cs="Tahoma"/>
        </w:rPr>
        <w:t>dejstvo</w:t>
      </w:r>
      <w:r w:rsidRPr="007F11EF">
        <w:rPr>
          <w:rFonts w:ascii="Tahoma" w:hAnsi="Tahoma" w:cs="Tahoma"/>
        </w:rPr>
        <w:t>,</w:t>
      </w:r>
      <w:r w:rsidR="00BF2A68" w:rsidRPr="007F11EF">
        <w:rPr>
          <w:rFonts w:ascii="Tahoma" w:hAnsi="Tahoma" w:cs="Tahoma"/>
        </w:rPr>
        <w:t xml:space="preserve"> da se prihranki prebivalstva </w:t>
      </w:r>
      <w:r w:rsidR="00531987" w:rsidRPr="007F11EF">
        <w:rPr>
          <w:rFonts w:ascii="Tahoma" w:hAnsi="Tahoma" w:cs="Tahoma"/>
        </w:rPr>
        <w:t>zvišujejo</w:t>
      </w:r>
      <w:r w:rsidR="00313D10">
        <w:rPr>
          <w:rFonts w:ascii="Tahoma" w:hAnsi="Tahoma" w:cs="Tahoma"/>
        </w:rPr>
        <w:t xml:space="preserve"> in da so po podatkih Banke Slovenije januarja letos znašali 24,2 mrd EUR</w:t>
      </w:r>
      <w:r w:rsidR="00BF2A68" w:rsidRPr="007F11EF">
        <w:rPr>
          <w:rFonts w:ascii="Tahoma" w:hAnsi="Tahoma" w:cs="Tahoma"/>
        </w:rPr>
        <w:t xml:space="preserve"> pa</w:t>
      </w:r>
      <w:r w:rsidRPr="007F11EF">
        <w:rPr>
          <w:rFonts w:ascii="Tahoma" w:hAnsi="Tahoma" w:cs="Tahoma"/>
        </w:rPr>
        <w:t xml:space="preserve"> </w:t>
      </w:r>
      <w:proofErr w:type="spellStart"/>
      <w:r w:rsidRPr="007F11EF">
        <w:rPr>
          <w:rFonts w:ascii="Tahoma" w:hAnsi="Tahoma" w:cs="Tahoma"/>
        </w:rPr>
        <w:t>makrobonitetni</w:t>
      </w:r>
      <w:proofErr w:type="spellEnd"/>
      <w:r w:rsidRPr="007F11EF">
        <w:rPr>
          <w:rFonts w:ascii="Tahoma" w:hAnsi="Tahoma" w:cs="Tahoma"/>
        </w:rPr>
        <w:t xml:space="preserve"> ukrep </w:t>
      </w:r>
      <w:r w:rsidR="00BF2A68" w:rsidRPr="007F11EF">
        <w:rPr>
          <w:rFonts w:ascii="Tahoma" w:hAnsi="Tahoma" w:cs="Tahoma"/>
        </w:rPr>
        <w:t>po drugi strani močno omejuje kreditiranje nekaterih skupin prebivalstva</w:t>
      </w:r>
      <w:r w:rsidRPr="007F11EF">
        <w:rPr>
          <w:rFonts w:ascii="Tahoma" w:hAnsi="Tahoma" w:cs="Tahoma"/>
        </w:rPr>
        <w:t>. Družine z minimalnimi do povprečnimi slovenskimi prihodki</w:t>
      </w:r>
      <w:r w:rsidR="00BF2A68" w:rsidRPr="007F11EF">
        <w:rPr>
          <w:rFonts w:ascii="Tahoma" w:hAnsi="Tahoma" w:cs="Tahoma"/>
        </w:rPr>
        <w:t xml:space="preserve">, ki predstavljajo večino </w:t>
      </w:r>
      <w:r w:rsidRPr="007F11EF">
        <w:rPr>
          <w:rFonts w:ascii="Tahoma" w:hAnsi="Tahoma" w:cs="Tahoma"/>
        </w:rPr>
        <w:t xml:space="preserve">vseh </w:t>
      </w:r>
      <w:r w:rsidR="00531987" w:rsidRPr="007F11EF">
        <w:rPr>
          <w:rFonts w:ascii="Tahoma" w:hAnsi="Tahoma" w:cs="Tahoma"/>
        </w:rPr>
        <w:t xml:space="preserve">oz. 70 odstotkov </w:t>
      </w:r>
      <w:r w:rsidRPr="007F11EF">
        <w:rPr>
          <w:rFonts w:ascii="Tahoma" w:hAnsi="Tahoma" w:cs="Tahoma"/>
        </w:rPr>
        <w:t>zaposlenih</w:t>
      </w:r>
      <w:r w:rsidR="00531987" w:rsidRPr="007F11EF">
        <w:rPr>
          <w:rFonts w:ascii="Tahoma" w:hAnsi="Tahoma" w:cs="Tahoma"/>
        </w:rPr>
        <w:t xml:space="preserve">, </w:t>
      </w:r>
      <w:r w:rsidR="004C51FB" w:rsidRPr="007F11EF">
        <w:rPr>
          <w:rFonts w:ascii="Tahoma" w:hAnsi="Tahoma" w:cs="Tahoma"/>
        </w:rPr>
        <w:t xml:space="preserve"> </w:t>
      </w:r>
      <w:r w:rsidR="00BF2A68" w:rsidRPr="007F11EF">
        <w:rPr>
          <w:rFonts w:ascii="Tahoma" w:hAnsi="Tahoma" w:cs="Tahoma"/>
        </w:rPr>
        <w:t xml:space="preserve">imajo </w:t>
      </w:r>
      <w:r w:rsidRPr="007F11EF">
        <w:rPr>
          <w:rFonts w:ascii="Tahoma" w:hAnsi="Tahoma" w:cs="Tahoma"/>
        </w:rPr>
        <w:t>zelo nizko kreditno sposobnost.</w:t>
      </w:r>
      <w:r w:rsidR="00C12CDF" w:rsidRPr="007F11EF">
        <w:rPr>
          <w:rFonts w:ascii="Tahoma" w:hAnsi="Tahoma" w:cs="Tahoma"/>
        </w:rPr>
        <w:t xml:space="preserve"> Posameznik, ki prejema minimalno plačo</w:t>
      </w:r>
      <w:r w:rsidR="00531987" w:rsidRPr="007F11EF">
        <w:rPr>
          <w:rFonts w:ascii="Tahoma" w:hAnsi="Tahoma" w:cs="Tahoma"/>
        </w:rPr>
        <w:t>,</w:t>
      </w:r>
      <w:r w:rsidR="00C12CDF" w:rsidRPr="007F11EF">
        <w:rPr>
          <w:rFonts w:ascii="Tahoma" w:hAnsi="Tahoma" w:cs="Tahoma"/>
        </w:rPr>
        <w:t xml:space="preserve"> se </w:t>
      </w:r>
      <w:r w:rsidR="00531987" w:rsidRPr="007F11EF">
        <w:rPr>
          <w:rFonts w:ascii="Tahoma" w:hAnsi="Tahoma" w:cs="Tahoma"/>
        </w:rPr>
        <w:t>tako</w:t>
      </w:r>
      <w:r w:rsidR="00F622D0">
        <w:rPr>
          <w:rFonts w:ascii="Tahoma" w:hAnsi="Tahoma" w:cs="Tahoma"/>
        </w:rPr>
        <w:t xml:space="preserve"> </w:t>
      </w:r>
      <w:r w:rsidR="00531987" w:rsidRPr="007F11EF">
        <w:rPr>
          <w:rFonts w:ascii="Tahoma" w:hAnsi="Tahoma" w:cs="Tahoma"/>
        </w:rPr>
        <w:t xml:space="preserve">rekoč v banki oz. hranilnici </w:t>
      </w:r>
      <w:r w:rsidR="00C12CDF" w:rsidRPr="007F11EF">
        <w:rPr>
          <w:rFonts w:ascii="Tahoma" w:hAnsi="Tahoma" w:cs="Tahoma"/>
        </w:rPr>
        <w:t xml:space="preserve">ne </w:t>
      </w:r>
      <w:r w:rsidR="00C12CDF" w:rsidRPr="007F11EF">
        <w:rPr>
          <w:rFonts w:ascii="Tahoma" w:hAnsi="Tahoma" w:cs="Tahoma"/>
        </w:rPr>
        <w:lastRenderedPageBreak/>
        <w:t>more zadolžiti. Za vsak nadaljnji EUR dohodka nad minimalno plačo se lahko za anuiteto uporabi le 0,5 EUR (DSTI</w:t>
      </w:r>
      <w:r w:rsidR="00860D7F" w:rsidRPr="007F11EF">
        <w:rPr>
          <w:rFonts w:ascii="Tahoma" w:hAnsi="Tahoma" w:cs="Tahoma"/>
        </w:rPr>
        <w:footnoteReference w:customMarkFollows="1" w:id="1"/>
        <w:t>*</w:t>
      </w:r>
      <w:r w:rsidR="00C12CDF" w:rsidRPr="007F11EF">
        <w:rPr>
          <w:rFonts w:ascii="Tahoma" w:hAnsi="Tahoma" w:cs="Tahoma"/>
        </w:rPr>
        <w:t xml:space="preserve"> = 50)</w:t>
      </w:r>
      <w:r w:rsidR="004C51FB" w:rsidRPr="007F11EF">
        <w:rPr>
          <w:rFonts w:ascii="Tahoma" w:hAnsi="Tahoma" w:cs="Tahoma"/>
        </w:rPr>
        <w:t>.</w:t>
      </w:r>
      <w:r w:rsidR="00860D7F" w:rsidRPr="007F11EF">
        <w:rPr>
          <w:rFonts w:ascii="Tahoma" w:hAnsi="Tahoma" w:cs="Tahoma"/>
        </w:rPr>
        <w:t xml:space="preserve"> </w:t>
      </w:r>
      <w:r w:rsidRPr="007F11EF">
        <w:rPr>
          <w:rFonts w:ascii="Tahoma" w:hAnsi="Tahoma" w:cs="Tahoma"/>
        </w:rPr>
        <w:t xml:space="preserve"> Zato rast </w:t>
      </w:r>
      <w:r w:rsidR="00BF2A68" w:rsidRPr="007F11EF">
        <w:rPr>
          <w:rFonts w:ascii="Tahoma" w:hAnsi="Tahoma" w:cs="Tahoma"/>
        </w:rPr>
        <w:t xml:space="preserve">ugodnih </w:t>
      </w:r>
      <w:r w:rsidRPr="007F11EF">
        <w:rPr>
          <w:rFonts w:ascii="Tahoma" w:hAnsi="Tahoma" w:cs="Tahoma"/>
        </w:rPr>
        <w:t xml:space="preserve">stanovanjskih posojil ne pomeni nujno, da do njih dostopajo povprečni Slovenci, pač pa da ima dostop do njih le manjša skupina nadpovprečno premožnih, ki lahko izkorišča čas rekordno nizkih obrestnih mer. </w:t>
      </w:r>
      <w:r w:rsidRPr="007F11EF">
        <w:rPr>
          <w:rFonts w:ascii="Tahoma" w:hAnsi="Tahoma" w:cs="Tahoma"/>
        </w:rPr>
        <w:br/>
      </w:r>
    </w:p>
    <w:p w14:paraId="0EFC0839" w14:textId="69FE4F15" w:rsidR="00FA2C79" w:rsidRDefault="00FA2C79" w:rsidP="00FA2C79">
      <w:pPr>
        <w:jc w:val="both"/>
        <w:rPr>
          <w:rFonts w:ascii="Tahoma" w:hAnsi="Tahoma" w:cs="Tahoma"/>
          <w:color w:val="000000"/>
        </w:rPr>
      </w:pPr>
      <w:r>
        <w:rPr>
          <w:rFonts w:ascii="Tahoma" w:hAnsi="Tahoma" w:cs="Tahoma"/>
        </w:rPr>
        <w:t>Navajamo izračun</w:t>
      </w:r>
      <w:r w:rsidRPr="00E802FC">
        <w:rPr>
          <w:rFonts w:ascii="Tahoma" w:hAnsi="Tahoma" w:cs="Tahoma"/>
        </w:rPr>
        <w:t xml:space="preserve"> kreditne sposobnosti za posameznika s povprečno plačo, par s povprečnima plačama in par s povprečnima plačama ter dvema otrokoma</w:t>
      </w:r>
      <w:r>
        <w:rPr>
          <w:rFonts w:ascii="Tahoma" w:hAnsi="Tahoma" w:cs="Tahoma"/>
        </w:rPr>
        <w:t>.</w:t>
      </w:r>
      <w:r w:rsidRPr="00E802FC">
        <w:rPr>
          <w:rFonts w:ascii="Tahoma" w:hAnsi="Tahoma" w:cs="Tahoma"/>
        </w:rPr>
        <w:t xml:space="preserve"> Izračun je  bil pripravljen na dan 6.1.2022</w:t>
      </w:r>
      <w:r w:rsidR="000D2194">
        <w:rPr>
          <w:rFonts w:ascii="Tahoma" w:hAnsi="Tahoma" w:cs="Tahoma"/>
        </w:rPr>
        <w:t xml:space="preserve"> in za lažjo primerjavo vsebuje izračun kreditne sposobnosti po pogojih za december 2021 ter po novih pogojih</w:t>
      </w:r>
      <w:r w:rsidR="00BB61B5">
        <w:rPr>
          <w:rFonts w:ascii="Tahoma" w:hAnsi="Tahoma" w:cs="Tahoma"/>
        </w:rPr>
        <w:t xml:space="preserve"> za leto 2022</w:t>
      </w:r>
      <w:r w:rsidR="000D2194">
        <w:rPr>
          <w:rFonts w:ascii="Tahoma" w:hAnsi="Tahoma" w:cs="Tahoma"/>
        </w:rPr>
        <w:t>, kjer je upoštevan</w:t>
      </w:r>
      <w:r w:rsidR="00313D10">
        <w:rPr>
          <w:rFonts w:ascii="Tahoma" w:hAnsi="Tahoma" w:cs="Tahoma"/>
        </w:rPr>
        <w:t xml:space="preserve"> </w:t>
      </w:r>
      <w:r w:rsidRPr="00E802FC">
        <w:rPr>
          <w:rFonts w:ascii="Tahoma" w:hAnsi="Tahoma" w:cs="Tahoma"/>
        </w:rPr>
        <w:t>dvig minimalne plače za januar 2022 za 4,9 % iz 1.024,24 EUR na 1074,43 EUR bruto</w:t>
      </w:r>
      <w:r w:rsidR="009267EA">
        <w:rPr>
          <w:rFonts w:ascii="Tahoma" w:hAnsi="Tahoma" w:cs="Tahoma"/>
        </w:rPr>
        <w:t>.</w:t>
      </w:r>
      <w:r>
        <w:rPr>
          <w:rFonts w:ascii="Tahoma" w:hAnsi="Tahoma" w:cs="Tahoma"/>
        </w:rPr>
        <w:t xml:space="preserve"> </w:t>
      </w:r>
      <w:r w:rsidR="009267EA">
        <w:rPr>
          <w:rFonts w:ascii="Tahoma" w:hAnsi="Tahoma" w:cs="Tahoma"/>
        </w:rPr>
        <w:t>Izračun</w:t>
      </w:r>
      <w:r w:rsidR="009267EA" w:rsidRPr="00E802FC">
        <w:rPr>
          <w:rFonts w:ascii="Tahoma" w:hAnsi="Tahoma" w:cs="Tahoma"/>
        </w:rPr>
        <w:t xml:space="preserve"> </w:t>
      </w:r>
      <w:r w:rsidRPr="00E802FC">
        <w:rPr>
          <w:rFonts w:ascii="Tahoma" w:hAnsi="Tahoma" w:cs="Tahoma"/>
        </w:rPr>
        <w:t>prikaz</w:t>
      </w:r>
      <w:r w:rsidR="009267EA">
        <w:rPr>
          <w:rFonts w:ascii="Tahoma" w:hAnsi="Tahoma" w:cs="Tahoma"/>
        </w:rPr>
        <w:t>uje</w:t>
      </w:r>
      <w:r w:rsidRPr="00E802FC">
        <w:rPr>
          <w:rFonts w:ascii="Tahoma" w:hAnsi="Tahoma" w:cs="Tahoma"/>
        </w:rPr>
        <w:t xml:space="preserve"> vpliv</w:t>
      </w:r>
      <w:r w:rsidR="009267EA">
        <w:rPr>
          <w:rFonts w:ascii="Tahoma" w:hAnsi="Tahoma" w:cs="Tahoma"/>
        </w:rPr>
        <w:t xml:space="preserve"> dviga minimalne plače</w:t>
      </w:r>
      <w:r w:rsidRPr="00E802FC">
        <w:rPr>
          <w:rFonts w:ascii="Tahoma" w:hAnsi="Tahoma" w:cs="Tahoma"/>
        </w:rPr>
        <w:t xml:space="preserve"> na kreditno sposobnost komitentov za vse tri omenjene primere.</w:t>
      </w:r>
      <w:r w:rsidRPr="00E802FC">
        <w:rPr>
          <w:rFonts w:ascii="Tahoma" w:hAnsi="Tahoma" w:cs="Tahoma"/>
          <w:color w:val="000000"/>
        </w:rPr>
        <w:t xml:space="preserve"> </w:t>
      </w:r>
    </w:p>
    <w:p w14:paraId="75D419BE" w14:textId="77777777" w:rsidR="00FA2C79" w:rsidRDefault="00FA2C79" w:rsidP="00FA2C79">
      <w:pPr>
        <w:jc w:val="both"/>
        <w:rPr>
          <w:rFonts w:ascii="Tahoma" w:hAnsi="Tahoma" w:cs="Tahoma"/>
          <w:color w:val="000000"/>
        </w:rPr>
      </w:pPr>
    </w:p>
    <w:p w14:paraId="01759292" w14:textId="63427751" w:rsidR="00880116" w:rsidRDefault="00FA2C79" w:rsidP="00880116">
      <w:pPr>
        <w:jc w:val="both"/>
        <w:rPr>
          <w:rFonts w:ascii="Tahoma" w:eastAsia="Times New Roman" w:hAnsi="Tahoma" w:cs="Tahoma"/>
        </w:rPr>
      </w:pPr>
      <w:r>
        <w:rPr>
          <w:rFonts w:ascii="Tahoma" w:hAnsi="Tahoma" w:cs="Tahoma"/>
          <w:color w:val="000000"/>
        </w:rPr>
        <w:t>Iz</w:t>
      </w:r>
      <w:r w:rsidRPr="00E802FC">
        <w:rPr>
          <w:rFonts w:ascii="Tahoma" w:eastAsia="Times New Roman" w:hAnsi="Tahoma" w:cs="Tahoma"/>
        </w:rPr>
        <w:t xml:space="preserve">postaviti </w:t>
      </w:r>
      <w:r>
        <w:rPr>
          <w:rFonts w:ascii="Tahoma" w:eastAsia="Times New Roman" w:hAnsi="Tahoma" w:cs="Tahoma"/>
        </w:rPr>
        <w:t xml:space="preserve">je treba </w:t>
      </w:r>
      <w:r w:rsidRPr="00E802FC">
        <w:rPr>
          <w:rFonts w:ascii="Tahoma" w:eastAsia="Times New Roman" w:hAnsi="Tahoma" w:cs="Tahoma"/>
        </w:rPr>
        <w:t>tudi, da se z daljšanjem dobe odplačevanja učinek dviga minimalne bruto plače še povečuje, tako da</w:t>
      </w:r>
      <w:r w:rsidR="009267EA">
        <w:rPr>
          <w:rFonts w:ascii="Tahoma" w:eastAsia="Times New Roman" w:hAnsi="Tahoma" w:cs="Tahoma"/>
        </w:rPr>
        <w:t xml:space="preserve"> se je</w:t>
      </w:r>
      <w:r w:rsidRPr="00E802FC">
        <w:rPr>
          <w:rFonts w:ascii="Tahoma" w:eastAsia="Times New Roman" w:hAnsi="Tahoma" w:cs="Tahoma"/>
        </w:rPr>
        <w:t xml:space="preserve"> v primeru scenarija 3 in dobe odplačila kredita </w:t>
      </w:r>
      <w:r w:rsidR="00EB40B6">
        <w:rPr>
          <w:rFonts w:ascii="Tahoma" w:eastAsia="Times New Roman" w:hAnsi="Tahoma" w:cs="Tahoma"/>
        </w:rPr>
        <w:t xml:space="preserve">15 </w:t>
      </w:r>
      <w:r w:rsidRPr="00E802FC">
        <w:rPr>
          <w:rFonts w:ascii="Tahoma" w:eastAsia="Times New Roman" w:hAnsi="Tahoma" w:cs="Tahoma"/>
        </w:rPr>
        <w:t xml:space="preserve">let skupna kreditna sposobnost para s povprečno plačo po </w:t>
      </w:r>
      <w:proofErr w:type="spellStart"/>
      <w:r w:rsidRPr="00E802FC">
        <w:rPr>
          <w:rFonts w:ascii="Tahoma" w:eastAsia="Times New Roman" w:hAnsi="Tahoma" w:cs="Tahoma"/>
        </w:rPr>
        <w:t>makrobonitetnih</w:t>
      </w:r>
      <w:proofErr w:type="spellEnd"/>
      <w:r w:rsidRPr="00E802FC">
        <w:rPr>
          <w:rFonts w:ascii="Tahoma" w:eastAsia="Times New Roman" w:hAnsi="Tahoma" w:cs="Tahoma"/>
        </w:rPr>
        <w:t xml:space="preserve"> omejitvah zniža</w:t>
      </w:r>
      <w:r w:rsidR="009267EA">
        <w:rPr>
          <w:rFonts w:ascii="Tahoma" w:eastAsia="Times New Roman" w:hAnsi="Tahoma" w:cs="Tahoma"/>
        </w:rPr>
        <w:t>la</w:t>
      </w:r>
      <w:r w:rsidRPr="00E802FC">
        <w:rPr>
          <w:rFonts w:ascii="Tahoma" w:eastAsia="Times New Roman" w:hAnsi="Tahoma" w:cs="Tahoma"/>
        </w:rPr>
        <w:t xml:space="preserve"> za cca </w:t>
      </w:r>
      <w:r w:rsidR="00880116">
        <w:rPr>
          <w:rFonts w:ascii="Tahoma" w:eastAsia="Times New Roman" w:hAnsi="Tahoma" w:cs="Tahoma"/>
        </w:rPr>
        <w:t>12</w:t>
      </w:r>
      <w:r w:rsidRPr="00E802FC">
        <w:rPr>
          <w:rFonts w:ascii="Tahoma" w:eastAsia="Times New Roman" w:hAnsi="Tahoma" w:cs="Tahoma"/>
        </w:rPr>
        <w:t xml:space="preserve">.000 EUR in znaša cca </w:t>
      </w:r>
      <w:r w:rsidR="00880116">
        <w:rPr>
          <w:rFonts w:ascii="Tahoma" w:eastAsia="Times New Roman" w:hAnsi="Tahoma" w:cs="Tahoma"/>
        </w:rPr>
        <w:t>124</w:t>
      </w:r>
      <w:r w:rsidRPr="00E802FC">
        <w:rPr>
          <w:rFonts w:ascii="Tahoma" w:eastAsia="Times New Roman" w:hAnsi="Tahoma" w:cs="Tahoma"/>
        </w:rPr>
        <w:t>.000 EUR</w:t>
      </w:r>
      <w:r w:rsidR="00880116">
        <w:rPr>
          <w:rFonts w:ascii="Tahoma" w:eastAsia="Times New Roman" w:hAnsi="Tahoma" w:cs="Tahoma"/>
        </w:rPr>
        <w:t xml:space="preserve">, para z dvema otrokoma pa le 49.000 EUR. Slednje velja za obdobje do 1. aprila letos. S 1. aprilom se je v skladu z zakonodajo, ki ureja socialno varstvene prejemke za dodelitev denarne socialne pomoči dvignil znesek za vzdrževanega družinskega člana (otroka) iz 237,29 EUR na 248,92 EUR. V skladu s Sklepom o </w:t>
      </w:r>
      <w:proofErr w:type="spellStart"/>
      <w:r w:rsidR="00880116">
        <w:rPr>
          <w:rFonts w:ascii="Tahoma" w:eastAsia="Times New Roman" w:hAnsi="Tahoma" w:cs="Tahoma"/>
        </w:rPr>
        <w:t>makrobonitetnih</w:t>
      </w:r>
      <w:proofErr w:type="spellEnd"/>
      <w:r w:rsidR="00880116">
        <w:rPr>
          <w:rFonts w:ascii="Tahoma" w:eastAsia="Times New Roman" w:hAnsi="Tahoma" w:cs="Tahoma"/>
        </w:rPr>
        <w:t xml:space="preserve"> omejitvah kreditiranja prebivalstva </w:t>
      </w:r>
      <w:r w:rsidR="00880116" w:rsidRPr="000564AC">
        <w:rPr>
          <w:rFonts w:ascii="Tahoma" w:eastAsia="Times New Roman" w:hAnsi="Tahoma" w:cs="Tahoma"/>
        </w:rPr>
        <w:t>mora potrošniku po plačilu vseh obrokov iz naslova kreditnih pogodb vsak mesec ostati najmanj znesek v višini 76 % minimalne bruto plače, kot jo določa zakon, ki opredeljuje minimalno plačo. Če potrošnik preživlja družinskega člana ali drugo osebo, ki jo mora preživljati po zakonu, mu mora ostati tudi znesek v višini prejemka, določenega za osebo, ki jo preživlja, po merilih, ki jih določa zakon, ki ureja socialno varstvene prejemke za dodelitev denarne socialne pomoči.</w:t>
      </w:r>
      <w:r w:rsidR="00880116">
        <w:rPr>
          <w:rFonts w:ascii="Tahoma" w:eastAsia="Times New Roman" w:hAnsi="Tahoma" w:cs="Tahoma"/>
        </w:rPr>
        <w:t xml:space="preserve"> V praksi to pomeni, da se je potrošnikom, ki preživljajo otroke že drugič letos znižala kreditna sposobnost</w:t>
      </w:r>
      <w:r w:rsidR="0033702E">
        <w:rPr>
          <w:rFonts w:ascii="Tahoma" w:eastAsia="Times New Roman" w:hAnsi="Tahoma" w:cs="Tahoma"/>
        </w:rPr>
        <w:t xml:space="preserve"> in sicer v primeru izračuna na spodnjih predpostavkah za več kot 3.500 EUR.</w:t>
      </w:r>
    </w:p>
    <w:p w14:paraId="6485F0D9" w14:textId="77777777" w:rsidR="00880116" w:rsidRPr="00E802FC" w:rsidRDefault="00880116" w:rsidP="00FA2C79">
      <w:pPr>
        <w:jc w:val="both"/>
        <w:rPr>
          <w:rFonts w:ascii="Tahoma" w:eastAsia="Times New Roman" w:hAnsi="Tahoma" w:cs="Tahoma"/>
        </w:rPr>
      </w:pPr>
    </w:p>
    <w:p w14:paraId="5FFF90ED" w14:textId="77777777" w:rsidR="00FA2C79" w:rsidRPr="00E802FC" w:rsidRDefault="00FA2C79" w:rsidP="00FA2C79">
      <w:pPr>
        <w:jc w:val="both"/>
        <w:rPr>
          <w:rFonts w:ascii="Tahoma" w:hAnsi="Tahoma" w:cs="Tahoma"/>
          <w:color w:val="000000"/>
        </w:rPr>
      </w:pPr>
    </w:p>
    <w:p w14:paraId="6A67B0DB" w14:textId="77777777" w:rsidR="00FA2C79" w:rsidRPr="00E802FC" w:rsidRDefault="00FA2C79" w:rsidP="00FA2C79">
      <w:pPr>
        <w:jc w:val="both"/>
        <w:rPr>
          <w:rFonts w:ascii="Tahoma" w:hAnsi="Tahoma" w:cs="Tahoma"/>
          <w:color w:val="000000"/>
        </w:rPr>
      </w:pPr>
    </w:p>
    <w:p w14:paraId="5CCACE00" w14:textId="77777777" w:rsidR="000D2194" w:rsidRPr="00F57EFA" w:rsidRDefault="000D2194" w:rsidP="000D2194">
      <w:pPr>
        <w:rPr>
          <w:rFonts w:ascii="Arial" w:hAnsi="Arial" w:cs="Arial"/>
          <w:b/>
        </w:rPr>
      </w:pPr>
      <w:r w:rsidRPr="00F57EFA">
        <w:rPr>
          <w:rFonts w:ascii="Arial" w:hAnsi="Arial" w:cs="Arial"/>
          <w:b/>
        </w:rPr>
        <w:t>Izračun</w:t>
      </w:r>
      <w:r>
        <w:rPr>
          <w:rFonts w:ascii="Arial" w:hAnsi="Arial" w:cs="Arial"/>
          <w:b/>
        </w:rPr>
        <w:t xml:space="preserve"> kreditne sposobnosti</w:t>
      </w:r>
      <w:r w:rsidRPr="00F57EFA">
        <w:rPr>
          <w:rFonts w:ascii="Arial" w:hAnsi="Arial" w:cs="Arial"/>
          <w:b/>
        </w:rPr>
        <w:t xml:space="preserve"> </w:t>
      </w:r>
      <w:r>
        <w:rPr>
          <w:rFonts w:ascii="Arial" w:hAnsi="Arial" w:cs="Arial"/>
          <w:b/>
        </w:rPr>
        <w:t xml:space="preserve">na dan 06.01.2021 in sprememba kreditne sposobnosti ob  zvišanju minimalne bruto plače </w:t>
      </w:r>
    </w:p>
    <w:tbl>
      <w:tblPr>
        <w:tblStyle w:val="TableGrid"/>
        <w:tblW w:w="0" w:type="auto"/>
        <w:tblLook w:val="04A0" w:firstRow="1" w:lastRow="0" w:firstColumn="1" w:lastColumn="0" w:noHBand="0" w:noVBand="1"/>
      </w:tblPr>
      <w:tblGrid>
        <w:gridCol w:w="4214"/>
        <w:gridCol w:w="2572"/>
        <w:gridCol w:w="2276"/>
      </w:tblGrid>
      <w:tr w:rsidR="000D2194" w:rsidRPr="001454BB" w14:paraId="212E3C73" w14:textId="77777777" w:rsidTr="00DD0757">
        <w:tc>
          <w:tcPr>
            <w:tcW w:w="9062" w:type="dxa"/>
            <w:gridSpan w:val="3"/>
            <w:shd w:val="clear" w:color="auto" w:fill="C5E0B3" w:themeFill="accent6" w:themeFillTint="66"/>
          </w:tcPr>
          <w:p w14:paraId="6B4DC292" w14:textId="77777777" w:rsidR="000D2194" w:rsidRPr="001454BB" w:rsidRDefault="000D2194" w:rsidP="000D2194">
            <w:pPr>
              <w:pStyle w:val="ListParagraph"/>
              <w:numPr>
                <w:ilvl w:val="0"/>
                <w:numId w:val="20"/>
              </w:numPr>
              <w:rPr>
                <w:rFonts w:ascii="Arial" w:hAnsi="Arial" w:cs="Arial"/>
                <w:b/>
                <w:bCs/>
                <w:sz w:val="20"/>
                <w:szCs w:val="20"/>
              </w:rPr>
            </w:pPr>
            <w:r w:rsidRPr="001454BB">
              <w:rPr>
                <w:rFonts w:ascii="Arial" w:hAnsi="Arial" w:cs="Arial"/>
                <w:b/>
                <w:bCs/>
                <w:sz w:val="20"/>
                <w:szCs w:val="20"/>
              </w:rPr>
              <w:t xml:space="preserve">Izračun kreditne sposobnosti v primeru posameznika s povprečno plačo </w:t>
            </w:r>
          </w:p>
        </w:tc>
      </w:tr>
      <w:tr w:rsidR="000D2194" w:rsidRPr="001454BB" w14:paraId="1068F9A9" w14:textId="77777777" w:rsidTr="00DD0757">
        <w:tc>
          <w:tcPr>
            <w:tcW w:w="4214" w:type="dxa"/>
            <w:shd w:val="clear" w:color="auto" w:fill="D5DCE4" w:themeFill="text2" w:themeFillTint="33"/>
          </w:tcPr>
          <w:p w14:paraId="05D1C05A"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Povprečna neto plača </w:t>
            </w:r>
          </w:p>
          <w:p w14:paraId="5ACCF57D" w14:textId="77777777" w:rsidR="000D2194" w:rsidRPr="001454BB" w:rsidRDefault="000D2194" w:rsidP="00DD0757">
            <w:pPr>
              <w:rPr>
                <w:rFonts w:ascii="Arial" w:hAnsi="Arial" w:cs="Arial"/>
                <w:sz w:val="20"/>
                <w:szCs w:val="20"/>
              </w:rPr>
            </w:pPr>
          </w:p>
        </w:tc>
        <w:tc>
          <w:tcPr>
            <w:tcW w:w="4848" w:type="dxa"/>
            <w:gridSpan w:val="2"/>
            <w:shd w:val="clear" w:color="auto" w:fill="D5DCE4" w:themeFill="text2" w:themeFillTint="33"/>
          </w:tcPr>
          <w:p w14:paraId="03F2B07A" w14:textId="77777777" w:rsidR="000D2194" w:rsidRPr="001454BB" w:rsidRDefault="000D2194" w:rsidP="00DD0757">
            <w:pPr>
              <w:rPr>
                <w:rFonts w:ascii="Arial" w:hAnsi="Arial" w:cs="Arial"/>
                <w:sz w:val="20"/>
                <w:szCs w:val="20"/>
              </w:rPr>
            </w:pPr>
            <w:r w:rsidRPr="001454BB">
              <w:rPr>
                <w:rFonts w:ascii="Arial" w:hAnsi="Arial" w:cs="Arial"/>
                <w:sz w:val="20"/>
                <w:szCs w:val="20"/>
              </w:rPr>
              <w:t>1.210,46 EUR</w:t>
            </w:r>
          </w:p>
        </w:tc>
      </w:tr>
      <w:tr w:rsidR="000D2194" w:rsidRPr="001454BB" w14:paraId="06978783" w14:textId="77777777" w:rsidTr="00DD0757">
        <w:tc>
          <w:tcPr>
            <w:tcW w:w="4214" w:type="dxa"/>
            <w:shd w:val="clear" w:color="auto" w:fill="D5DCE4" w:themeFill="text2" w:themeFillTint="33"/>
          </w:tcPr>
          <w:p w14:paraId="263E8ADC" w14:textId="77777777" w:rsidR="000D2194" w:rsidRPr="001454BB" w:rsidRDefault="000D2194" w:rsidP="00DD0757">
            <w:pPr>
              <w:rPr>
                <w:rFonts w:ascii="Arial" w:hAnsi="Arial" w:cs="Arial"/>
                <w:sz w:val="20"/>
                <w:szCs w:val="20"/>
              </w:rPr>
            </w:pPr>
            <w:r w:rsidRPr="001454BB">
              <w:rPr>
                <w:rFonts w:ascii="Arial" w:hAnsi="Arial" w:cs="Arial"/>
                <w:sz w:val="20"/>
                <w:szCs w:val="20"/>
              </w:rPr>
              <w:t>Strošek vzdrževanih članov – 0 otrok</w:t>
            </w:r>
          </w:p>
          <w:p w14:paraId="4861D1D1" w14:textId="77777777" w:rsidR="000D2194" w:rsidRPr="001454BB" w:rsidRDefault="000D2194" w:rsidP="00DD0757">
            <w:pPr>
              <w:rPr>
                <w:rFonts w:ascii="Arial" w:hAnsi="Arial" w:cs="Arial"/>
                <w:sz w:val="20"/>
                <w:szCs w:val="20"/>
              </w:rPr>
            </w:pPr>
          </w:p>
        </w:tc>
        <w:tc>
          <w:tcPr>
            <w:tcW w:w="4848" w:type="dxa"/>
            <w:gridSpan w:val="2"/>
            <w:shd w:val="clear" w:color="auto" w:fill="D5DCE4" w:themeFill="text2" w:themeFillTint="33"/>
          </w:tcPr>
          <w:p w14:paraId="6BBB2C18" w14:textId="77777777" w:rsidR="000D2194" w:rsidRPr="00142718" w:rsidRDefault="000D2194" w:rsidP="00DD0757">
            <w:pPr>
              <w:rPr>
                <w:rFonts w:ascii="Arial" w:hAnsi="Arial" w:cs="Arial"/>
                <w:sz w:val="20"/>
                <w:szCs w:val="20"/>
              </w:rPr>
            </w:pPr>
            <w:r w:rsidRPr="00142718">
              <w:rPr>
                <w:rFonts w:ascii="Arial" w:hAnsi="Arial" w:cs="Arial"/>
                <w:sz w:val="20"/>
                <w:szCs w:val="20"/>
              </w:rPr>
              <w:t xml:space="preserve">0,00 EUR </w:t>
            </w:r>
          </w:p>
        </w:tc>
      </w:tr>
      <w:tr w:rsidR="000D2194" w:rsidRPr="001454BB" w14:paraId="100F0010" w14:textId="77777777" w:rsidTr="00DD0757">
        <w:tc>
          <w:tcPr>
            <w:tcW w:w="4214" w:type="dxa"/>
            <w:shd w:val="clear" w:color="auto" w:fill="D5DCE4" w:themeFill="text2" w:themeFillTint="33"/>
          </w:tcPr>
          <w:p w14:paraId="7E366A8D" w14:textId="77777777" w:rsidR="000D2194" w:rsidRPr="001454BB" w:rsidRDefault="000D2194" w:rsidP="00DD0757">
            <w:pPr>
              <w:rPr>
                <w:rFonts w:ascii="Arial" w:hAnsi="Arial" w:cs="Arial"/>
                <w:sz w:val="20"/>
                <w:szCs w:val="20"/>
              </w:rPr>
            </w:pPr>
            <w:r w:rsidRPr="001454BB">
              <w:rPr>
                <w:rFonts w:ascii="Arial" w:hAnsi="Arial" w:cs="Arial"/>
                <w:sz w:val="20"/>
                <w:szCs w:val="20"/>
              </w:rPr>
              <w:t>Obstoječe obveznosti iz naslova kreditov in leasingov</w:t>
            </w:r>
          </w:p>
          <w:p w14:paraId="08A2ABBF" w14:textId="77777777" w:rsidR="000D2194" w:rsidRPr="001454BB" w:rsidRDefault="000D2194" w:rsidP="00DD0757">
            <w:pPr>
              <w:rPr>
                <w:rFonts w:ascii="Arial" w:hAnsi="Arial" w:cs="Arial"/>
                <w:sz w:val="20"/>
                <w:szCs w:val="20"/>
              </w:rPr>
            </w:pPr>
          </w:p>
        </w:tc>
        <w:tc>
          <w:tcPr>
            <w:tcW w:w="4848" w:type="dxa"/>
            <w:gridSpan w:val="2"/>
            <w:shd w:val="clear" w:color="auto" w:fill="D5DCE4" w:themeFill="text2" w:themeFillTint="33"/>
          </w:tcPr>
          <w:p w14:paraId="63A37010" w14:textId="77777777" w:rsidR="000D2194" w:rsidRPr="00142718" w:rsidRDefault="000D2194" w:rsidP="00DD0757">
            <w:pPr>
              <w:rPr>
                <w:rFonts w:ascii="Arial" w:hAnsi="Arial" w:cs="Arial"/>
                <w:sz w:val="20"/>
                <w:szCs w:val="20"/>
              </w:rPr>
            </w:pPr>
            <w:r>
              <w:rPr>
                <w:rFonts w:ascii="Arial" w:hAnsi="Arial" w:cs="Arial"/>
                <w:sz w:val="20"/>
                <w:szCs w:val="20"/>
              </w:rPr>
              <w:t>0</w:t>
            </w:r>
            <w:r w:rsidRPr="00142718">
              <w:rPr>
                <w:rFonts w:ascii="Arial" w:hAnsi="Arial" w:cs="Arial"/>
                <w:sz w:val="20"/>
                <w:szCs w:val="20"/>
              </w:rPr>
              <w:t xml:space="preserve">,00 EUR </w:t>
            </w:r>
          </w:p>
        </w:tc>
      </w:tr>
      <w:tr w:rsidR="000D2194" w:rsidRPr="001454BB" w14:paraId="7E9FFE44" w14:textId="77777777" w:rsidTr="00DD0757">
        <w:tc>
          <w:tcPr>
            <w:tcW w:w="4214" w:type="dxa"/>
          </w:tcPr>
          <w:p w14:paraId="2A822F05"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w:t>
            </w:r>
            <w:r>
              <w:rPr>
                <w:rFonts w:ascii="Arial" w:hAnsi="Arial" w:cs="Arial"/>
                <w:sz w:val="20"/>
                <w:szCs w:val="20"/>
              </w:rPr>
              <w:t xml:space="preserve"> v letu 2021</w:t>
            </w:r>
            <w:r w:rsidRPr="001454BB">
              <w:rPr>
                <w:rFonts w:ascii="Arial" w:hAnsi="Arial" w:cs="Arial"/>
                <w:sz w:val="20"/>
                <w:szCs w:val="20"/>
              </w:rPr>
              <w:t xml:space="preserve"> (1</w:t>
            </w:r>
            <w:r>
              <w:rPr>
                <w:rFonts w:ascii="Arial" w:hAnsi="Arial" w:cs="Arial"/>
                <w:sz w:val="20"/>
                <w:szCs w:val="20"/>
              </w:rPr>
              <w:t>.</w:t>
            </w:r>
            <w:r w:rsidRPr="001454BB">
              <w:rPr>
                <w:rFonts w:ascii="Arial" w:hAnsi="Arial" w:cs="Arial"/>
                <w:sz w:val="20"/>
                <w:szCs w:val="20"/>
              </w:rPr>
              <w:t>024,24 EUR)</w:t>
            </w:r>
          </w:p>
        </w:tc>
        <w:tc>
          <w:tcPr>
            <w:tcW w:w="4848" w:type="dxa"/>
            <w:gridSpan w:val="2"/>
          </w:tcPr>
          <w:p w14:paraId="5F52980C"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778,42 EUR </w:t>
            </w:r>
          </w:p>
        </w:tc>
      </w:tr>
      <w:tr w:rsidR="000D2194" w:rsidRPr="001454BB" w14:paraId="4089411F" w14:textId="77777777" w:rsidTr="00DD0757">
        <w:tc>
          <w:tcPr>
            <w:tcW w:w="4214" w:type="dxa"/>
            <w:shd w:val="clear" w:color="auto" w:fill="FFF2CC" w:themeFill="accent4" w:themeFillTint="33"/>
          </w:tcPr>
          <w:p w14:paraId="5AEA64D9"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Maks. anuiteta po BS </w:t>
            </w:r>
          </w:p>
        </w:tc>
        <w:tc>
          <w:tcPr>
            <w:tcW w:w="4848" w:type="dxa"/>
            <w:gridSpan w:val="2"/>
            <w:shd w:val="clear" w:color="auto" w:fill="FFF2CC" w:themeFill="accent4" w:themeFillTint="33"/>
          </w:tcPr>
          <w:p w14:paraId="6D2BB345"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432,04 EUR </w:t>
            </w:r>
          </w:p>
        </w:tc>
      </w:tr>
      <w:tr w:rsidR="000D2194" w:rsidRPr="001454BB" w14:paraId="09CA5A54" w14:textId="77777777" w:rsidTr="00DD0757">
        <w:tc>
          <w:tcPr>
            <w:tcW w:w="9062" w:type="dxa"/>
            <w:gridSpan w:val="3"/>
            <w:shd w:val="clear" w:color="auto" w:fill="FFF2CC" w:themeFill="accent4" w:themeFillTint="33"/>
          </w:tcPr>
          <w:p w14:paraId="6C942132" w14:textId="77777777" w:rsidR="000D2194" w:rsidRPr="001454BB" w:rsidRDefault="000D2194" w:rsidP="00DD0757">
            <w:pPr>
              <w:rPr>
                <w:rFonts w:ascii="Arial" w:hAnsi="Arial" w:cs="Arial"/>
                <w:b/>
                <w:sz w:val="20"/>
                <w:szCs w:val="20"/>
              </w:rPr>
            </w:pPr>
            <w:r>
              <w:rPr>
                <w:rFonts w:ascii="Arial" w:hAnsi="Arial" w:cs="Arial"/>
                <w:b/>
                <w:sz w:val="20"/>
                <w:szCs w:val="20"/>
              </w:rPr>
              <w:t>M</w:t>
            </w:r>
            <w:r w:rsidRPr="001454BB">
              <w:rPr>
                <w:rFonts w:ascii="Arial" w:hAnsi="Arial" w:cs="Arial"/>
                <w:b/>
                <w:sz w:val="20"/>
                <w:szCs w:val="20"/>
              </w:rPr>
              <w:t>aksimalna kreditna sposobnost</w:t>
            </w:r>
            <w:r>
              <w:rPr>
                <w:rFonts w:ascii="Arial" w:hAnsi="Arial" w:cs="Arial"/>
                <w:b/>
                <w:sz w:val="20"/>
                <w:szCs w:val="20"/>
              </w:rPr>
              <w:t xml:space="preserve"> na 15 let (pred dvigom min. plače januarja 2022) 68</w:t>
            </w:r>
            <w:r w:rsidRPr="001454BB">
              <w:rPr>
                <w:rFonts w:ascii="Arial" w:hAnsi="Arial" w:cs="Arial"/>
                <w:b/>
                <w:sz w:val="20"/>
                <w:szCs w:val="20"/>
              </w:rPr>
              <w:t>.000,00 EUR</w:t>
            </w:r>
            <w:r>
              <w:rPr>
                <w:rFonts w:ascii="Arial" w:hAnsi="Arial" w:cs="Arial"/>
                <w:b/>
                <w:sz w:val="20"/>
                <w:szCs w:val="20"/>
              </w:rPr>
              <w:t>.</w:t>
            </w:r>
          </w:p>
        </w:tc>
      </w:tr>
      <w:tr w:rsidR="000D2194" w:rsidRPr="001454BB" w14:paraId="7C13BECB" w14:textId="77777777" w:rsidTr="00DD0757">
        <w:tc>
          <w:tcPr>
            <w:tcW w:w="4214" w:type="dxa"/>
          </w:tcPr>
          <w:p w14:paraId="32F7F001"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Anuiteta fiksna </w:t>
            </w:r>
            <w:r>
              <w:rPr>
                <w:rFonts w:ascii="Arial" w:hAnsi="Arial" w:cs="Arial"/>
                <w:sz w:val="20"/>
                <w:szCs w:val="20"/>
              </w:rPr>
              <w:t>om</w:t>
            </w:r>
            <w:r w:rsidRPr="001454BB">
              <w:rPr>
                <w:rFonts w:ascii="Arial" w:hAnsi="Arial" w:cs="Arial"/>
                <w:sz w:val="20"/>
                <w:szCs w:val="20"/>
              </w:rPr>
              <w:t xml:space="preserve"> </w:t>
            </w:r>
          </w:p>
        </w:tc>
        <w:tc>
          <w:tcPr>
            <w:tcW w:w="4848" w:type="dxa"/>
            <w:gridSpan w:val="2"/>
          </w:tcPr>
          <w:p w14:paraId="6CBF25A3" w14:textId="77777777" w:rsidR="000D2194" w:rsidRPr="001454BB" w:rsidRDefault="000D2194" w:rsidP="00DD0757">
            <w:pPr>
              <w:rPr>
                <w:rFonts w:ascii="Arial" w:hAnsi="Arial" w:cs="Arial"/>
                <w:sz w:val="20"/>
                <w:szCs w:val="20"/>
              </w:rPr>
            </w:pPr>
            <w:r w:rsidRPr="00E25B17">
              <w:rPr>
                <w:rFonts w:ascii="Arial" w:hAnsi="Arial" w:cs="Arial"/>
                <w:sz w:val="20"/>
                <w:szCs w:val="20"/>
              </w:rPr>
              <w:t>430,42</w:t>
            </w:r>
            <w:r>
              <w:rPr>
                <w:rFonts w:ascii="Arial" w:hAnsi="Arial" w:cs="Arial"/>
                <w:sz w:val="20"/>
                <w:szCs w:val="20"/>
              </w:rPr>
              <w:t xml:space="preserve"> </w:t>
            </w:r>
            <w:r w:rsidRPr="001454BB">
              <w:rPr>
                <w:rFonts w:ascii="Arial" w:hAnsi="Arial" w:cs="Arial"/>
                <w:sz w:val="20"/>
                <w:szCs w:val="20"/>
              </w:rPr>
              <w:t>EUR</w:t>
            </w:r>
          </w:p>
        </w:tc>
      </w:tr>
      <w:tr w:rsidR="000D2194" w:rsidRPr="001454BB" w14:paraId="1D023FE3" w14:textId="77777777" w:rsidTr="00DD0757">
        <w:tc>
          <w:tcPr>
            <w:tcW w:w="4214" w:type="dxa"/>
          </w:tcPr>
          <w:p w14:paraId="1C8B7732" w14:textId="77777777" w:rsidR="000D2194" w:rsidRPr="001454BB" w:rsidRDefault="000D2194" w:rsidP="00DD0757">
            <w:pPr>
              <w:rPr>
                <w:rFonts w:ascii="Arial" w:hAnsi="Arial" w:cs="Arial"/>
                <w:color w:val="333333"/>
                <w:sz w:val="20"/>
                <w:szCs w:val="20"/>
                <w:shd w:val="clear" w:color="auto" w:fill="FFFFFF"/>
              </w:rPr>
            </w:pPr>
            <w:r w:rsidRPr="001454BB">
              <w:rPr>
                <w:rFonts w:ascii="Arial" w:hAnsi="Arial" w:cs="Arial"/>
                <w:sz w:val="20"/>
                <w:szCs w:val="20"/>
              </w:rPr>
              <w:t xml:space="preserve">Anuiteta variabilna </w:t>
            </w:r>
            <w:r>
              <w:rPr>
                <w:rFonts w:ascii="Arial" w:hAnsi="Arial" w:cs="Arial"/>
                <w:sz w:val="20"/>
                <w:szCs w:val="20"/>
              </w:rPr>
              <w:t>om</w:t>
            </w:r>
            <w:r w:rsidRPr="001454BB">
              <w:rPr>
                <w:rFonts w:ascii="Arial" w:hAnsi="Arial" w:cs="Arial"/>
                <w:sz w:val="20"/>
                <w:szCs w:val="20"/>
              </w:rPr>
              <w:t xml:space="preserve"> </w:t>
            </w:r>
          </w:p>
        </w:tc>
        <w:tc>
          <w:tcPr>
            <w:tcW w:w="4848" w:type="dxa"/>
            <w:gridSpan w:val="2"/>
          </w:tcPr>
          <w:p w14:paraId="2D687FF9" w14:textId="77777777" w:rsidR="000D2194" w:rsidRPr="001454BB" w:rsidRDefault="000D2194" w:rsidP="00DD0757">
            <w:pPr>
              <w:rPr>
                <w:rFonts w:ascii="Arial" w:hAnsi="Arial" w:cs="Arial"/>
                <w:sz w:val="20"/>
                <w:szCs w:val="20"/>
              </w:rPr>
            </w:pPr>
            <w:r w:rsidRPr="00E25B17">
              <w:rPr>
                <w:rFonts w:ascii="Arial" w:hAnsi="Arial" w:cs="Arial"/>
                <w:sz w:val="20"/>
                <w:szCs w:val="20"/>
              </w:rPr>
              <w:t>424,25</w:t>
            </w:r>
            <w:r>
              <w:rPr>
                <w:rFonts w:ascii="Arial" w:hAnsi="Arial" w:cs="Arial"/>
                <w:sz w:val="20"/>
                <w:szCs w:val="20"/>
              </w:rPr>
              <w:t xml:space="preserve"> </w:t>
            </w:r>
            <w:r w:rsidRPr="001454BB">
              <w:rPr>
                <w:rFonts w:ascii="Arial" w:hAnsi="Arial" w:cs="Arial"/>
                <w:sz w:val="20"/>
                <w:szCs w:val="20"/>
              </w:rPr>
              <w:t xml:space="preserve">EUR </w:t>
            </w:r>
          </w:p>
        </w:tc>
      </w:tr>
      <w:tr w:rsidR="000D2194" w:rsidRPr="001454BB" w14:paraId="5C2C4F1E" w14:textId="77777777" w:rsidTr="00DD0757">
        <w:tc>
          <w:tcPr>
            <w:tcW w:w="9062" w:type="dxa"/>
            <w:gridSpan w:val="3"/>
            <w:shd w:val="clear" w:color="auto" w:fill="00B0F0"/>
          </w:tcPr>
          <w:p w14:paraId="7A59A56D" w14:textId="77777777" w:rsidR="000D2194" w:rsidRPr="001454BB" w:rsidRDefault="000D2194" w:rsidP="00DD0757">
            <w:pPr>
              <w:rPr>
                <w:rFonts w:ascii="Arial" w:hAnsi="Arial" w:cs="Arial"/>
                <w:sz w:val="20"/>
                <w:szCs w:val="20"/>
              </w:rPr>
            </w:pPr>
            <w:r>
              <w:rPr>
                <w:rFonts w:ascii="Arial" w:hAnsi="Arial" w:cs="Arial"/>
                <w:sz w:val="20"/>
                <w:szCs w:val="20"/>
              </w:rPr>
              <w:t xml:space="preserve">Učinek </w:t>
            </w:r>
            <w:r w:rsidRPr="001454BB">
              <w:rPr>
                <w:rFonts w:ascii="Arial" w:hAnsi="Arial" w:cs="Arial"/>
                <w:sz w:val="20"/>
                <w:szCs w:val="20"/>
              </w:rPr>
              <w:t xml:space="preserve">ob zvišanju minimalne bruto plače za </w:t>
            </w:r>
            <w:r>
              <w:rPr>
                <w:rFonts w:ascii="Arial" w:hAnsi="Arial" w:cs="Arial"/>
                <w:sz w:val="20"/>
                <w:szCs w:val="20"/>
              </w:rPr>
              <w:t xml:space="preserve">4,90 </w:t>
            </w:r>
            <w:r w:rsidRPr="001454BB">
              <w:rPr>
                <w:rFonts w:ascii="Arial" w:hAnsi="Arial" w:cs="Arial"/>
                <w:sz w:val="20"/>
                <w:szCs w:val="20"/>
              </w:rPr>
              <w:t>% iz 1</w:t>
            </w:r>
            <w:r>
              <w:rPr>
                <w:rFonts w:ascii="Arial" w:hAnsi="Arial" w:cs="Arial"/>
                <w:sz w:val="20"/>
                <w:szCs w:val="20"/>
              </w:rPr>
              <w:t>.</w:t>
            </w:r>
            <w:r w:rsidRPr="001454BB">
              <w:rPr>
                <w:rFonts w:ascii="Arial" w:hAnsi="Arial" w:cs="Arial"/>
                <w:sz w:val="20"/>
                <w:szCs w:val="20"/>
              </w:rPr>
              <w:t xml:space="preserve">024,24 EUR na </w:t>
            </w:r>
            <w:r w:rsidRPr="00054DCB">
              <w:rPr>
                <w:rFonts w:ascii="Arial" w:hAnsi="Arial" w:cs="Arial"/>
                <w:sz w:val="20"/>
                <w:szCs w:val="20"/>
              </w:rPr>
              <w:t>1</w:t>
            </w:r>
            <w:r>
              <w:rPr>
                <w:rFonts w:ascii="Arial" w:hAnsi="Arial" w:cs="Arial"/>
                <w:sz w:val="20"/>
                <w:szCs w:val="20"/>
              </w:rPr>
              <w:t>.</w:t>
            </w:r>
            <w:r w:rsidRPr="00054DCB">
              <w:rPr>
                <w:rFonts w:ascii="Arial" w:hAnsi="Arial" w:cs="Arial"/>
                <w:sz w:val="20"/>
                <w:szCs w:val="20"/>
              </w:rPr>
              <w:t xml:space="preserve">074,43 </w:t>
            </w:r>
            <w:r w:rsidRPr="001454BB">
              <w:rPr>
                <w:rFonts w:ascii="Arial" w:hAnsi="Arial" w:cs="Arial"/>
                <w:sz w:val="20"/>
                <w:szCs w:val="20"/>
              </w:rPr>
              <w:t>EUR</w:t>
            </w:r>
          </w:p>
        </w:tc>
      </w:tr>
      <w:tr w:rsidR="000D2194" w:rsidRPr="001454BB" w14:paraId="7BF55FE4" w14:textId="77777777" w:rsidTr="00DD0757">
        <w:tc>
          <w:tcPr>
            <w:tcW w:w="4214" w:type="dxa"/>
          </w:tcPr>
          <w:p w14:paraId="2AE409F1" w14:textId="77777777" w:rsidR="000D2194" w:rsidRPr="001B5F45" w:rsidRDefault="000D2194" w:rsidP="00DD0757">
            <w:pPr>
              <w:rPr>
                <w:rFonts w:ascii="Arial" w:hAnsi="Arial" w:cs="Arial"/>
                <w:sz w:val="20"/>
                <w:szCs w:val="20"/>
              </w:rPr>
            </w:pPr>
            <w:r w:rsidRPr="001B5F45">
              <w:rPr>
                <w:rFonts w:ascii="Arial" w:hAnsi="Arial" w:cs="Arial"/>
                <w:sz w:val="20"/>
                <w:szCs w:val="20"/>
              </w:rPr>
              <w:t>76% minimalne bruto plače (</w:t>
            </w:r>
            <w:r>
              <w:rPr>
                <w:rFonts w:ascii="Arial" w:hAnsi="Arial" w:cs="Arial"/>
                <w:color w:val="3D3D3D"/>
                <w:sz w:val="20"/>
                <w:szCs w:val="20"/>
                <w:shd w:val="clear" w:color="auto" w:fill="FFFFFF"/>
              </w:rPr>
              <w:t>1.074,43</w:t>
            </w:r>
            <w:r w:rsidRPr="001B5F45">
              <w:rPr>
                <w:rFonts w:ascii="Arial" w:hAnsi="Arial" w:cs="Arial"/>
                <w:color w:val="3D3D3D"/>
                <w:sz w:val="20"/>
                <w:szCs w:val="20"/>
                <w:shd w:val="clear" w:color="auto" w:fill="FFFFFF"/>
              </w:rPr>
              <w:t xml:space="preserve"> </w:t>
            </w:r>
            <w:r w:rsidRPr="001B5F45">
              <w:rPr>
                <w:rFonts w:ascii="Arial" w:hAnsi="Arial" w:cs="Arial"/>
                <w:sz w:val="20"/>
                <w:szCs w:val="20"/>
              </w:rPr>
              <w:t>EUR)</w:t>
            </w:r>
          </w:p>
        </w:tc>
        <w:tc>
          <w:tcPr>
            <w:tcW w:w="4848" w:type="dxa"/>
            <w:gridSpan w:val="2"/>
          </w:tcPr>
          <w:p w14:paraId="095E2671" w14:textId="77777777" w:rsidR="000D2194" w:rsidRPr="001B5F45" w:rsidRDefault="000D2194" w:rsidP="00DD0757">
            <w:pPr>
              <w:rPr>
                <w:rFonts w:ascii="Arial" w:hAnsi="Arial" w:cs="Arial"/>
                <w:sz w:val="20"/>
                <w:szCs w:val="20"/>
              </w:rPr>
            </w:pPr>
            <w:r>
              <w:rPr>
                <w:rFonts w:ascii="Arial" w:hAnsi="Arial" w:cs="Arial"/>
                <w:sz w:val="20"/>
                <w:szCs w:val="20"/>
              </w:rPr>
              <w:t>816,57</w:t>
            </w:r>
            <w:r w:rsidRPr="001B5F45">
              <w:rPr>
                <w:rFonts w:ascii="Arial" w:hAnsi="Arial" w:cs="Arial"/>
                <w:sz w:val="20"/>
                <w:szCs w:val="20"/>
              </w:rPr>
              <w:t xml:space="preserve"> EUR</w:t>
            </w:r>
          </w:p>
        </w:tc>
      </w:tr>
      <w:tr w:rsidR="000D2194" w:rsidRPr="001454BB" w14:paraId="38F95939" w14:textId="77777777" w:rsidTr="00DD0757">
        <w:tc>
          <w:tcPr>
            <w:tcW w:w="4214" w:type="dxa"/>
            <w:shd w:val="clear" w:color="auto" w:fill="FFE599" w:themeFill="accent4" w:themeFillTint="66"/>
          </w:tcPr>
          <w:p w14:paraId="0F6C996E" w14:textId="77777777" w:rsidR="000D2194" w:rsidRPr="001454BB" w:rsidRDefault="000D2194" w:rsidP="00DD0757">
            <w:pPr>
              <w:rPr>
                <w:rFonts w:ascii="Arial" w:hAnsi="Arial" w:cs="Arial"/>
                <w:sz w:val="20"/>
                <w:szCs w:val="20"/>
              </w:rPr>
            </w:pPr>
            <w:r w:rsidRPr="001454BB">
              <w:rPr>
                <w:rFonts w:ascii="Arial" w:hAnsi="Arial" w:cs="Arial"/>
                <w:sz w:val="20"/>
                <w:szCs w:val="20"/>
              </w:rPr>
              <w:lastRenderedPageBreak/>
              <w:t>Maks. anuiteta po BS</w:t>
            </w:r>
          </w:p>
        </w:tc>
        <w:tc>
          <w:tcPr>
            <w:tcW w:w="4848" w:type="dxa"/>
            <w:gridSpan w:val="2"/>
            <w:shd w:val="clear" w:color="auto" w:fill="FFE599" w:themeFill="accent4" w:themeFillTint="66"/>
          </w:tcPr>
          <w:p w14:paraId="5446BE24" w14:textId="77777777" w:rsidR="000D2194" w:rsidRPr="001454BB"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EUR </w:t>
            </w:r>
          </w:p>
        </w:tc>
      </w:tr>
      <w:tr w:rsidR="000D2194" w:rsidRPr="001454BB" w14:paraId="584C40C1" w14:textId="77777777" w:rsidTr="00DD0757">
        <w:tc>
          <w:tcPr>
            <w:tcW w:w="9062" w:type="dxa"/>
            <w:gridSpan w:val="3"/>
            <w:shd w:val="clear" w:color="auto" w:fill="FFE599" w:themeFill="accent4" w:themeFillTint="66"/>
          </w:tcPr>
          <w:p w14:paraId="50E0B9FF" w14:textId="77777777" w:rsidR="000D2194" w:rsidRPr="001454BB" w:rsidRDefault="000D2194" w:rsidP="00DD0757">
            <w:pPr>
              <w:rPr>
                <w:rFonts w:ascii="Arial" w:hAnsi="Arial" w:cs="Arial"/>
                <w:b/>
                <w:sz w:val="20"/>
                <w:szCs w:val="20"/>
              </w:rPr>
            </w:pPr>
            <w:r w:rsidRPr="001454BB">
              <w:rPr>
                <w:rFonts w:ascii="Arial" w:hAnsi="Arial" w:cs="Arial"/>
                <w:b/>
                <w:sz w:val="20"/>
                <w:szCs w:val="20"/>
              </w:rPr>
              <w:t xml:space="preserve">Maksimalna kreditna sposobnost </w:t>
            </w:r>
            <w:r>
              <w:rPr>
                <w:rFonts w:ascii="Arial" w:hAnsi="Arial" w:cs="Arial"/>
                <w:b/>
                <w:sz w:val="20"/>
                <w:szCs w:val="20"/>
              </w:rPr>
              <w:t>na 15 let po dvigu min. plače 62.000,00 EUR.</w:t>
            </w:r>
          </w:p>
        </w:tc>
      </w:tr>
      <w:tr w:rsidR="000D2194" w:rsidRPr="001454BB" w14:paraId="51B82A36" w14:textId="77777777" w:rsidTr="00DD0757">
        <w:tc>
          <w:tcPr>
            <w:tcW w:w="4214" w:type="dxa"/>
          </w:tcPr>
          <w:p w14:paraId="005D1325" w14:textId="77777777" w:rsidR="000D2194" w:rsidRPr="001454BB" w:rsidRDefault="000D2194" w:rsidP="00DD0757">
            <w:pPr>
              <w:rPr>
                <w:rFonts w:ascii="Arial" w:hAnsi="Arial" w:cs="Arial"/>
                <w:sz w:val="20"/>
                <w:szCs w:val="20"/>
              </w:rPr>
            </w:pPr>
            <w:r>
              <w:rPr>
                <w:rFonts w:ascii="Arial" w:hAnsi="Arial" w:cs="Arial"/>
                <w:sz w:val="20"/>
                <w:szCs w:val="20"/>
              </w:rPr>
              <w:t>Anuiteta fiksna om</w:t>
            </w:r>
          </w:p>
        </w:tc>
        <w:tc>
          <w:tcPr>
            <w:tcW w:w="4848" w:type="dxa"/>
            <w:gridSpan w:val="2"/>
          </w:tcPr>
          <w:p w14:paraId="0DB41C8E" w14:textId="77777777" w:rsidR="000D2194" w:rsidRPr="001454BB" w:rsidRDefault="000D2194" w:rsidP="00DD0757">
            <w:pPr>
              <w:rPr>
                <w:rFonts w:ascii="Arial" w:hAnsi="Arial" w:cs="Arial"/>
                <w:sz w:val="20"/>
                <w:szCs w:val="20"/>
              </w:rPr>
            </w:pPr>
            <w:r w:rsidRPr="00735002">
              <w:rPr>
                <w:rFonts w:ascii="Arial" w:hAnsi="Arial" w:cs="Arial"/>
                <w:sz w:val="20"/>
                <w:szCs w:val="20"/>
              </w:rPr>
              <w:t>392,44</w:t>
            </w:r>
            <w:r>
              <w:rPr>
                <w:rFonts w:ascii="Arial" w:hAnsi="Arial" w:cs="Arial"/>
                <w:sz w:val="20"/>
                <w:szCs w:val="20"/>
              </w:rPr>
              <w:t xml:space="preserve"> EUR </w:t>
            </w:r>
          </w:p>
        </w:tc>
      </w:tr>
      <w:tr w:rsidR="000D2194" w:rsidRPr="001454BB" w14:paraId="633E2FEE" w14:textId="77777777" w:rsidTr="00DD0757">
        <w:tc>
          <w:tcPr>
            <w:tcW w:w="4214" w:type="dxa"/>
          </w:tcPr>
          <w:p w14:paraId="21382B6C" w14:textId="77777777" w:rsidR="000D2194" w:rsidRPr="001454BB" w:rsidRDefault="000D2194" w:rsidP="00DD0757">
            <w:pPr>
              <w:rPr>
                <w:rFonts w:ascii="Arial" w:hAnsi="Arial" w:cs="Arial"/>
                <w:color w:val="333333"/>
                <w:sz w:val="20"/>
                <w:szCs w:val="20"/>
                <w:shd w:val="clear" w:color="auto" w:fill="FFFFFF"/>
              </w:rPr>
            </w:pPr>
            <w:r w:rsidRPr="001454BB">
              <w:rPr>
                <w:rFonts w:ascii="Arial" w:hAnsi="Arial" w:cs="Arial"/>
                <w:sz w:val="20"/>
                <w:szCs w:val="20"/>
              </w:rPr>
              <w:t xml:space="preserve">Anuiteta </w:t>
            </w:r>
            <w:r>
              <w:rPr>
                <w:rFonts w:ascii="Arial" w:hAnsi="Arial" w:cs="Arial"/>
                <w:sz w:val="20"/>
                <w:szCs w:val="20"/>
              </w:rPr>
              <w:t>variabilna om</w:t>
            </w:r>
          </w:p>
        </w:tc>
        <w:tc>
          <w:tcPr>
            <w:tcW w:w="4848" w:type="dxa"/>
            <w:gridSpan w:val="2"/>
          </w:tcPr>
          <w:p w14:paraId="02E69712" w14:textId="77777777" w:rsidR="000D2194" w:rsidRPr="001454BB" w:rsidRDefault="000D2194" w:rsidP="00DD0757">
            <w:pPr>
              <w:rPr>
                <w:rFonts w:ascii="Arial" w:hAnsi="Arial" w:cs="Arial"/>
                <w:sz w:val="20"/>
                <w:szCs w:val="20"/>
              </w:rPr>
            </w:pPr>
            <w:r w:rsidRPr="00735002">
              <w:rPr>
                <w:rFonts w:ascii="Arial" w:hAnsi="Arial" w:cs="Arial"/>
                <w:sz w:val="20"/>
                <w:szCs w:val="20"/>
              </w:rPr>
              <w:t>386,82</w:t>
            </w:r>
            <w:r>
              <w:rPr>
                <w:rFonts w:ascii="Arial" w:hAnsi="Arial" w:cs="Arial"/>
                <w:sz w:val="20"/>
                <w:szCs w:val="20"/>
              </w:rPr>
              <w:t xml:space="preserve"> </w:t>
            </w:r>
            <w:r w:rsidRPr="001454BB">
              <w:rPr>
                <w:rFonts w:ascii="Arial" w:hAnsi="Arial" w:cs="Arial"/>
                <w:sz w:val="20"/>
                <w:szCs w:val="20"/>
              </w:rPr>
              <w:t xml:space="preserve">EUR </w:t>
            </w:r>
          </w:p>
        </w:tc>
      </w:tr>
      <w:tr w:rsidR="000D2194" w:rsidRPr="001454BB" w14:paraId="16FB54F3" w14:textId="77777777" w:rsidTr="00DD0757">
        <w:tc>
          <w:tcPr>
            <w:tcW w:w="9062" w:type="dxa"/>
            <w:gridSpan w:val="3"/>
          </w:tcPr>
          <w:p w14:paraId="63C1A59D" w14:textId="77777777" w:rsidR="000D2194" w:rsidRPr="00E50CB7" w:rsidRDefault="000D2194" w:rsidP="00DD0757">
            <w:pPr>
              <w:rPr>
                <w:rFonts w:ascii="Arial" w:hAnsi="Arial" w:cs="Arial"/>
                <w:b/>
                <w:i/>
                <w:color w:val="FF0000"/>
                <w:sz w:val="20"/>
                <w:szCs w:val="20"/>
              </w:rPr>
            </w:pPr>
            <w:r w:rsidRPr="00E50CB7">
              <w:rPr>
                <w:rFonts w:ascii="Arial" w:hAnsi="Arial" w:cs="Arial"/>
                <w:b/>
                <w:i/>
                <w:color w:val="FF0000"/>
                <w:sz w:val="20"/>
                <w:szCs w:val="20"/>
              </w:rPr>
              <w:t>Kreditna sposobnost se</w:t>
            </w:r>
            <w:r>
              <w:rPr>
                <w:rFonts w:ascii="Arial" w:hAnsi="Arial" w:cs="Arial"/>
                <w:b/>
                <w:i/>
                <w:color w:val="FF0000"/>
                <w:sz w:val="20"/>
                <w:szCs w:val="20"/>
              </w:rPr>
              <w:t xml:space="preserve"> je</w:t>
            </w:r>
            <w:r w:rsidRPr="00E50CB7">
              <w:rPr>
                <w:rFonts w:ascii="Arial" w:hAnsi="Arial" w:cs="Arial"/>
                <w:b/>
                <w:i/>
                <w:color w:val="FF0000"/>
                <w:sz w:val="20"/>
                <w:szCs w:val="20"/>
              </w:rPr>
              <w:t xml:space="preserve"> poslabša</w:t>
            </w:r>
            <w:r>
              <w:rPr>
                <w:rFonts w:ascii="Arial" w:hAnsi="Arial" w:cs="Arial"/>
                <w:b/>
                <w:i/>
                <w:color w:val="FF0000"/>
                <w:sz w:val="20"/>
                <w:szCs w:val="20"/>
              </w:rPr>
              <w:t>la</w:t>
            </w:r>
            <w:r w:rsidRPr="00E50CB7">
              <w:rPr>
                <w:rFonts w:ascii="Arial" w:hAnsi="Arial" w:cs="Arial"/>
                <w:b/>
                <w:i/>
                <w:color w:val="FF0000"/>
                <w:sz w:val="20"/>
                <w:szCs w:val="20"/>
              </w:rPr>
              <w:t xml:space="preserve"> za cca </w:t>
            </w:r>
            <w:r>
              <w:rPr>
                <w:rFonts w:ascii="Arial" w:hAnsi="Arial" w:cs="Arial"/>
                <w:b/>
                <w:i/>
                <w:color w:val="FF0000"/>
                <w:sz w:val="20"/>
                <w:szCs w:val="20"/>
              </w:rPr>
              <w:t>6</w:t>
            </w:r>
            <w:r w:rsidRPr="00E50CB7">
              <w:rPr>
                <w:rFonts w:ascii="Arial" w:hAnsi="Arial" w:cs="Arial"/>
                <w:b/>
                <w:i/>
                <w:color w:val="FF0000"/>
                <w:sz w:val="20"/>
                <w:szCs w:val="20"/>
              </w:rPr>
              <w:t>.000,00 EUR</w:t>
            </w:r>
          </w:p>
        </w:tc>
      </w:tr>
      <w:tr w:rsidR="000D2194" w:rsidRPr="001454BB" w14:paraId="0C012B45" w14:textId="77777777" w:rsidTr="00DD0757">
        <w:tc>
          <w:tcPr>
            <w:tcW w:w="9062" w:type="dxa"/>
            <w:gridSpan w:val="3"/>
            <w:shd w:val="clear" w:color="auto" w:fill="C5E0B3" w:themeFill="accent6" w:themeFillTint="66"/>
          </w:tcPr>
          <w:p w14:paraId="42F6AABF" w14:textId="77777777" w:rsidR="000D2194" w:rsidRPr="001454BB" w:rsidRDefault="000D2194" w:rsidP="000D2194">
            <w:pPr>
              <w:pStyle w:val="ListParagraph"/>
              <w:numPr>
                <w:ilvl w:val="0"/>
                <w:numId w:val="20"/>
              </w:numPr>
              <w:rPr>
                <w:rFonts w:ascii="Arial" w:hAnsi="Arial" w:cs="Arial"/>
                <w:b/>
                <w:bCs/>
                <w:sz w:val="20"/>
                <w:szCs w:val="20"/>
              </w:rPr>
            </w:pPr>
            <w:r w:rsidRPr="001454BB">
              <w:rPr>
                <w:rFonts w:ascii="Arial" w:hAnsi="Arial" w:cs="Arial"/>
                <w:b/>
                <w:bCs/>
                <w:sz w:val="20"/>
                <w:szCs w:val="20"/>
              </w:rPr>
              <w:t>Izračun kreditne sposobnosti v primeru para s povprečnima plačama</w:t>
            </w:r>
          </w:p>
        </w:tc>
      </w:tr>
      <w:tr w:rsidR="000D2194" w:rsidRPr="001454BB" w14:paraId="5C96CD74" w14:textId="77777777" w:rsidTr="00DD0757">
        <w:tc>
          <w:tcPr>
            <w:tcW w:w="4214" w:type="dxa"/>
            <w:shd w:val="clear" w:color="auto" w:fill="D5DCE4" w:themeFill="text2" w:themeFillTint="33"/>
          </w:tcPr>
          <w:p w14:paraId="23E5AD4A"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3D35C4B4"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Posameznik 1 </w:t>
            </w:r>
          </w:p>
        </w:tc>
        <w:tc>
          <w:tcPr>
            <w:tcW w:w="2276" w:type="dxa"/>
            <w:shd w:val="clear" w:color="auto" w:fill="D5DCE4" w:themeFill="text2" w:themeFillTint="33"/>
          </w:tcPr>
          <w:p w14:paraId="52C7F88B" w14:textId="77777777" w:rsidR="000D2194" w:rsidRPr="001454BB" w:rsidRDefault="000D2194" w:rsidP="00DD0757">
            <w:pPr>
              <w:rPr>
                <w:rFonts w:ascii="Arial" w:hAnsi="Arial" w:cs="Arial"/>
                <w:sz w:val="20"/>
                <w:szCs w:val="20"/>
              </w:rPr>
            </w:pPr>
            <w:r w:rsidRPr="001454BB">
              <w:rPr>
                <w:rFonts w:ascii="Arial" w:hAnsi="Arial" w:cs="Arial"/>
                <w:sz w:val="20"/>
                <w:szCs w:val="20"/>
              </w:rPr>
              <w:t>Posameznik 2</w:t>
            </w:r>
          </w:p>
        </w:tc>
      </w:tr>
      <w:tr w:rsidR="000D2194" w:rsidRPr="001454BB" w14:paraId="51026E9B" w14:textId="77777777" w:rsidTr="00DD0757">
        <w:tc>
          <w:tcPr>
            <w:tcW w:w="4214" w:type="dxa"/>
            <w:shd w:val="clear" w:color="auto" w:fill="D5DCE4" w:themeFill="text2" w:themeFillTint="33"/>
          </w:tcPr>
          <w:p w14:paraId="2054B6A1"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Povprečna neto plača </w:t>
            </w:r>
          </w:p>
          <w:p w14:paraId="6CEF1002"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2A460E8B"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c>
          <w:tcPr>
            <w:tcW w:w="2276" w:type="dxa"/>
            <w:shd w:val="clear" w:color="auto" w:fill="D5DCE4" w:themeFill="text2" w:themeFillTint="33"/>
          </w:tcPr>
          <w:p w14:paraId="5CA8C109"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r>
      <w:tr w:rsidR="000D2194" w:rsidRPr="001454BB" w14:paraId="38F10DD9" w14:textId="77777777" w:rsidTr="00DD0757">
        <w:tc>
          <w:tcPr>
            <w:tcW w:w="4214" w:type="dxa"/>
            <w:shd w:val="clear" w:color="auto" w:fill="D5DCE4" w:themeFill="text2" w:themeFillTint="33"/>
          </w:tcPr>
          <w:p w14:paraId="6559FF35" w14:textId="77777777" w:rsidR="000D2194" w:rsidRPr="001454BB" w:rsidRDefault="000D2194" w:rsidP="00DD0757">
            <w:pPr>
              <w:rPr>
                <w:rFonts w:ascii="Arial" w:hAnsi="Arial" w:cs="Arial"/>
                <w:sz w:val="20"/>
                <w:szCs w:val="20"/>
              </w:rPr>
            </w:pPr>
            <w:r w:rsidRPr="001454BB">
              <w:rPr>
                <w:rFonts w:ascii="Arial" w:hAnsi="Arial" w:cs="Arial"/>
                <w:sz w:val="20"/>
                <w:szCs w:val="20"/>
              </w:rPr>
              <w:t>Strošek vzdrževanih članov – 0 otrok</w:t>
            </w:r>
          </w:p>
          <w:p w14:paraId="48A0785C"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4F362EAC"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0,00EUR </w:t>
            </w:r>
          </w:p>
        </w:tc>
        <w:tc>
          <w:tcPr>
            <w:tcW w:w="2276" w:type="dxa"/>
            <w:shd w:val="clear" w:color="auto" w:fill="D5DCE4" w:themeFill="text2" w:themeFillTint="33"/>
          </w:tcPr>
          <w:p w14:paraId="6CA960BC"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0,00 EUR </w:t>
            </w:r>
          </w:p>
        </w:tc>
      </w:tr>
      <w:tr w:rsidR="000D2194" w:rsidRPr="001454BB" w14:paraId="63C2780A" w14:textId="77777777" w:rsidTr="00DD0757">
        <w:tc>
          <w:tcPr>
            <w:tcW w:w="4214" w:type="dxa"/>
            <w:shd w:val="clear" w:color="auto" w:fill="D5DCE4" w:themeFill="text2" w:themeFillTint="33"/>
          </w:tcPr>
          <w:p w14:paraId="12AD19EC" w14:textId="77777777" w:rsidR="000D2194" w:rsidRPr="001454BB" w:rsidRDefault="000D2194" w:rsidP="00DD0757">
            <w:pPr>
              <w:rPr>
                <w:rFonts w:ascii="Arial" w:hAnsi="Arial" w:cs="Arial"/>
                <w:sz w:val="20"/>
                <w:szCs w:val="20"/>
              </w:rPr>
            </w:pPr>
            <w:r w:rsidRPr="001454BB">
              <w:rPr>
                <w:rFonts w:ascii="Arial" w:hAnsi="Arial" w:cs="Arial"/>
                <w:sz w:val="20"/>
                <w:szCs w:val="20"/>
              </w:rPr>
              <w:t>Obstoječe obveznosti iz naslova kreditov in leasingov</w:t>
            </w:r>
          </w:p>
        </w:tc>
        <w:tc>
          <w:tcPr>
            <w:tcW w:w="2572" w:type="dxa"/>
            <w:shd w:val="clear" w:color="auto" w:fill="D5DCE4" w:themeFill="text2" w:themeFillTint="33"/>
          </w:tcPr>
          <w:p w14:paraId="15C82F48"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c>
          <w:tcPr>
            <w:tcW w:w="2276" w:type="dxa"/>
            <w:shd w:val="clear" w:color="auto" w:fill="D5DCE4" w:themeFill="text2" w:themeFillTint="33"/>
          </w:tcPr>
          <w:p w14:paraId="3BCA87A4"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r>
      <w:tr w:rsidR="000D2194" w:rsidRPr="001454BB" w14:paraId="7A477634" w14:textId="77777777" w:rsidTr="00DD0757">
        <w:tc>
          <w:tcPr>
            <w:tcW w:w="4214" w:type="dxa"/>
          </w:tcPr>
          <w:p w14:paraId="36841331"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w:t>
            </w:r>
            <w:r>
              <w:rPr>
                <w:rFonts w:ascii="Arial" w:hAnsi="Arial" w:cs="Arial"/>
                <w:sz w:val="20"/>
                <w:szCs w:val="20"/>
              </w:rPr>
              <w:t xml:space="preserve"> v letu 2021</w:t>
            </w:r>
            <w:r w:rsidRPr="001454BB">
              <w:rPr>
                <w:rFonts w:ascii="Arial" w:hAnsi="Arial" w:cs="Arial"/>
                <w:sz w:val="20"/>
                <w:szCs w:val="20"/>
              </w:rPr>
              <w:t xml:space="preserve"> (1</w:t>
            </w:r>
            <w:r>
              <w:rPr>
                <w:rFonts w:ascii="Arial" w:hAnsi="Arial" w:cs="Arial"/>
                <w:sz w:val="20"/>
                <w:szCs w:val="20"/>
              </w:rPr>
              <w:t>.</w:t>
            </w:r>
            <w:r w:rsidRPr="001454BB">
              <w:rPr>
                <w:rFonts w:ascii="Arial" w:hAnsi="Arial" w:cs="Arial"/>
                <w:sz w:val="20"/>
                <w:szCs w:val="20"/>
              </w:rPr>
              <w:t>024,24 EUR)</w:t>
            </w:r>
          </w:p>
        </w:tc>
        <w:tc>
          <w:tcPr>
            <w:tcW w:w="2572" w:type="dxa"/>
          </w:tcPr>
          <w:p w14:paraId="03E10670"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778,42 EUR </w:t>
            </w:r>
          </w:p>
        </w:tc>
        <w:tc>
          <w:tcPr>
            <w:tcW w:w="2276" w:type="dxa"/>
          </w:tcPr>
          <w:p w14:paraId="6AC09CAD" w14:textId="77777777" w:rsidR="000D2194" w:rsidRPr="001454BB" w:rsidRDefault="000D2194" w:rsidP="00DD0757">
            <w:pPr>
              <w:rPr>
                <w:rFonts w:ascii="Arial" w:hAnsi="Arial" w:cs="Arial"/>
                <w:sz w:val="20"/>
                <w:szCs w:val="20"/>
              </w:rPr>
            </w:pPr>
            <w:r w:rsidRPr="001454BB">
              <w:rPr>
                <w:rFonts w:ascii="Arial" w:hAnsi="Arial" w:cs="Arial"/>
                <w:sz w:val="20"/>
                <w:szCs w:val="20"/>
              </w:rPr>
              <w:t>778,42 EUR</w:t>
            </w:r>
          </w:p>
        </w:tc>
      </w:tr>
      <w:tr w:rsidR="000D2194" w:rsidRPr="001454BB" w14:paraId="079BB49F" w14:textId="77777777" w:rsidTr="00DD0757">
        <w:tc>
          <w:tcPr>
            <w:tcW w:w="4214" w:type="dxa"/>
            <w:shd w:val="clear" w:color="auto" w:fill="FFF2CC" w:themeFill="accent4" w:themeFillTint="33"/>
          </w:tcPr>
          <w:p w14:paraId="228EB588"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F2CC" w:themeFill="accent4" w:themeFillTint="33"/>
          </w:tcPr>
          <w:p w14:paraId="57D6F9FF"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432,04 EUR </w:t>
            </w:r>
          </w:p>
        </w:tc>
        <w:tc>
          <w:tcPr>
            <w:tcW w:w="2276" w:type="dxa"/>
            <w:shd w:val="clear" w:color="auto" w:fill="FFF2CC" w:themeFill="accent4" w:themeFillTint="33"/>
          </w:tcPr>
          <w:p w14:paraId="6D419270"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432,04 EUR </w:t>
            </w:r>
          </w:p>
        </w:tc>
      </w:tr>
      <w:tr w:rsidR="000D2194" w:rsidRPr="001454BB" w14:paraId="1EDF39EF" w14:textId="77777777" w:rsidTr="00DD0757">
        <w:tc>
          <w:tcPr>
            <w:tcW w:w="9062" w:type="dxa"/>
            <w:gridSpan w:val="3"/>
            <w:shd w:val="clear" w:color="auto" w:fill="FFF2CC" w:themeFill="accent4" w:themeFillTint="33"/>
          </w:tcPr>
          <w:p w14:paraId="7B6CFAD2" w14:textId="77777777" w:rsidR="000D2194" w:rsidRPr="001454BB" w:rsidRDefault="000D2194" w:rsidP="00DD0757">
            <w:pPr>
              <w:rPr>
                <w:rFonts w:ascii="Arial" w:hAnsi="Arial" w:cs="Arial"/>
                <w:sz w:val="20"/>
                <w:szCs w:val="20"/>
              </w:rPr>
            </w:pPr>
            <w:r w:rsidRPr="00117025">
              <w:rPr>
                <w:rFonts w:ascii="Arial" w:hAnsi="Arial" w:cs="Arial"/>
                <w:b/>
                <w:sz w:val="20"/>
                <w:szCs w:val="20"/>
              </w:rPr>
              <w:t xml:space="preserve">Maksimalna kreditna sposobnost na 15 let (pred dvigom min. plače januarja 2022) </w:t>
            </w:r>
            <w:r>
              <w:rPr>
                <w:rFonts w:ascii="Arial" w:hAnsi="Arial" w:cs="Arial"/>
                <w:b/>
                <w:sz w:val="20"/>
                <w:szCs w:val="20"/>
              </w:rPr>
              <w:t>136.000,00 EUR.</w:t>
            </w:r>
          </w:p>
        </w:tc>
      </w:tr>
      <w:tr w:rsidR="000D2194" w:rsidRPr="001454BB" w14:paraId="581D452A" w14:textId="77777777" w:rsidTr="00DD0757">
        <w:tc>
          <w:tcPr>
            <w:tcW w:w="4214" w:type="dxa"/>
          </w:tcPr>
          <w:p w14:paraId="74BE522C"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Skupna anuiteta 860,84 EUR </w:t>
            </w:r>
            <w:r>
              <w:rPr>
                <w:rFonts w:ascii="Arial" w:hAnsi="Arial" w:cs="Arial"/>
                <w:sz w:val="20"/>
                <w:szCs w:val="20"/>
              </w:rPr>
              <w:t>fiksna om</w:t>
            </w:r>
          </w:p>
        </w:tc>
        <w:tc>
          <w:tcPr>
            <w:tcW w:w="2572" w:type="dxa"/>
          </w:tcPr>
          <w:p w14:paraId="446365B5" w14:textId="77777777" w:rsidR="000D2194" w:rsidRPr="00D67105" w:rsidRDefault="000D2194" w:rsidP="00DD0757">
            <w:pPr>
              <w:rPr>
                <w:rFonts w:ascii="Arial" w:hAnsi="Arial" w:cs="Arial"/>
                <w:sz w:val="20"/>
                <w:szCs w:val="20"/>
              </w:rPr>
            </w:pPr>
            <w:r w:rsidRPr="00D67105">
              <w:rPr>
                <w:rFonts w:ascii="Arial" w:hAnsi="Arial" w:cs="Arial"/>
                <w:sz w:val="20"/>
                <w:szCs w:val="20"/>
              </w:rPr>
              <w:t>432,04 EUR</w:t>
            </w:r>
          </w:p>
        </w:tc>
        <w:tc>
          <w:tcPr>
            <w:tcW w:w="2276" w:type="dxa"/>
          </w:tcPr>
          <w:p w14:paraId="3441B72F"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428,80 EUR </w:t>
            </w:r>
          </w:p>
        </w:tc>
      </w:tr>
      <w:tr w:rsidR="000D2194" w:rsidRPr="001454BB" w14:paraId="05DA6C02" w14:textId="77777777" w:rsidTr="00DD0757">
        <w:tc>
          <w:tcPr>
            <w:tcW w:w="4214" w:type="dxa"/>
          </w:tcPr>
          <w:p w14:paraId="75F333D9" w14:textId="77777777" w:rsidR="000D2194" w:rsidRPr="00D67105" w:rsidRDefault="000D2194" w:rsidP="00DD0757">
            <w:pPr>
              <w:rPr>
                <w:rFonts w:ascii="Arial" w:hAnsi="Arial" w:cs="Arial"/>
                <w:color w:val="333333"/>
                <w:sz w:val="20"/>
                <w:szCs w:val="20"/>
                <w:shd w:val="clear" w:color="auto" w:fill="FFFFFF"/>
              </w:rPr>
            </w:pPr>
            <w:r w:rsidRPr="00D67105">
              <w:rPr>
                <w:rFonts w:ascii="Arial" w:hAnsi="Arial" w:cs="Arial"/>
                <w:sz w:val="20"/>
                <w:szCs w:val="20"/>
              </w:rPr>
              <w:t xml:space="preserve">Skupna anuiteta 848,50 EUR </w:t>
            </w:r>
            <w:r>
              <w:rPr>
                <w:rFonts w:ascii="Arial" w:hAnsi="Arial" w:cs="Arial"/>
                <w:sz w:val="20"/>
                <w:szCs w:val="20"/>
              </w:rPr>
              <w:t>variabilna om</w:t>
            </w:r>
          </w:p>
        </w:tc>
        <w:tc>
          <w:tcPr>
            <w:tcW w:w="2572" w:type="dxa"/>
          </w:tcPr>
          <w:p w14:paraId="0E18F2A3"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432,04 EUR </w:t>
            </w:r>
          </w:p>
        </w:tc>
        <w:tc>
          <w:tcPr>
            <w:tcW w:w="2276" w:type="dxa"/>
          </w:tcPr>
          <w:p w14:paraId="6E2112C8"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416,46 EUR </w:t>
            </w:r>
          </w:p>
        </w:tc>
      </w:tr>
      <w:tr w:rsidR="000D2194" w:rsidRPr="001454BB" w14:paraId="4D474EB2" w14:textId="77777777" w:rsidTr="00DD0757">
        <w:tc>
          <w:tcPr>
            <w:tcW w:w="9062" w:type="dxa"/>
            <w:gridSpan w:val="3"/>
            <w:shd w:val="clear" w:color="auto" w:fill="00B0F0"/>
          </w:tcPr>
          <w:p w14:paraId="276E4B31" w14:textId="77777777" w:rsidR="000D2194" w:rsidRPr="001454BB" w:rsidRDefault="000D2194" w:rsidP="00DD0757">
            <w:pPr>
              <w:rPr>
                <w:rFonts w:ascii="Arial" w:hAnsi="Arial" w:cs="Arial"/>
                <w:sz w:val="20"/>
                <w:szCs w:val="20"/>
              </w:rPr>
            </w:pPr>
            <w:r>
              <w:rPr>
                <w:rFonts w:ascii="Arial" w:hAnsi="Arial" w:cs="Arial"/>
                <w:sz w:val="20"/>
                <w:szCs w:val="20"/>
              </w:rPr>
              <w:t xml:space="preserve">Učinek </w:t>
            </w:r>
            <w:r w:rsidRPr="001454BB">
              <w:rPr>
                <w:rFonts w:ascii="Arial" w:hAnsi="Arial" w:cs="Arial"/>
                <w:sz w:val="20"/>
                <w:szCs w:val="20"/>
              </w:rPr>
              <w:t xml:space="preserve">ob zvišanju minimalne bruto plače za </w:t>
            </w:r>
            <w:r>
              <w:rPr>
                <w:rFonts w:ascii="Arial" w:hAnsi="Arial" w:cs="Arial"/>
                <w:sz w:val="20"/>
                <w:szCs w:val="20"/>
              </w:rPr>
              <w:t xml:space="preserve">4,90 </w:t>
            </w:r>
            <w:r w:rsidRPr="001454BB">
              <w:rPr>
                <w:rFonts w:ascii="Arial" w:hAnsi="Arial" w:cs="Arial"/>
                <w:sz w:val="20"/>
                <w:szCs w:val="20"/>
              </w:rPr>
              <w:t>% iz 1</w:t>
            </w:r>
            <w:r>
              <w:rPr>
                <w:rFonts w:ascii="Arial" w:hAnsi="Arial" w:cs="Arial"/>
                <w:sz w:val="20"/>
                <w:szCs w:val="20"/>
              </w:rPr>
              <w:t>.</w:t>
            </w:r>
            <w:r w:rsidRPr="001454BB">
              <w:rPr>
                <w:rFonts w:ascii="Arial" w:hAnsi="Arial" w:cs="Arial"/>
                <w:sz w:val="20"/>
                <w:szCs w:val="20"/>
              </w:rPr>
              <w:t xml:space="preserve">024,24 EUR na </w:t>
            </w:r>
            <w:r w:rsidRPr="00054DCB">
              <w:rPr>
                <w:rFonts w:ascii="Arial" w:hAnsi="Arial" w:cs="Arial"/>
                <w:sz w:val="20"/>
                <w:szCs w:val="20"/>
              </w:rPr>
              <w:t>1</w:t>
            </w:r>
            <w:r>
              <w:rPr>
                <w:rFonts w:ascii="Arial" w:hAnsi="Arial" w:cs="Arial"/>
                <w:sz w:val="20"/>
                <w:szCs w:val="20"/>
              </w:rPr>
              <w:t>.</w:t>
            </w:r>
            <w:r w:rsidRPr="00054DCB">
              <w:rPr>
                <w:rFonts w:ascii="Arial" w:hAnsi="Arial" w:cs="Arial"/>
                <w:sz w:val="20"/>
                <w:szCs w:val="20"/>
              </w:rPr>
              <w:t xml:space="preserve">074,43 </w:t>
            </w:r>
            <w:r w:rsidRPr="001454BB">
              <w:rPr>
                <w:rFonts w:ascii="Arial" w:hAnsi="Arial" w:cs="Arial"/>
                <w:sz w:val="20"/>
                <w:szCs w:val="20"/>
              </w:rPr>
              <w:t>EUR</w:t>
            </w:r>
          </w:p>
        </w:tc>
      </w:tr>
      <w:tr w:rsidR="000D2194" w:rsidRPr="001454BB" w14:paraId="01DC2670" w14:textId="77777777" w:rsidTr="00DD0757">
        <w:tc>
          <w:tcPr>
            <w:tcW w:w="4214" w:type="dxa"/>
          </w:tcPr>
          <w:p w14:paraId="43A2EFD6"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 (</w:t>
            </w:r>
            <w:r>
              <w:rPr>
                <w:rFonts w:ascii="Arial" w:hAnsi="Arial" w:cs="Arial"/>
                <w:color w:val="3D3D3D"/>
                <w:sz w:val="20"/>
                <w:szCs w:val="20"/>
                <w:shd w:val="clear" w:color="auto" w:fill="FFFFFF"/>
              </w:rPr>
              <w:t>1.074,43</w:t>
            </w:r>
            <w:r w:rsidRPr="001454BB">
              <w:rPr>
                <w:rFonts w:ascii="Arial" w:hAnsi="Arial" w:cs="Arial"/>
                <w:color w:val="3D3D3D"/>
                <w:sz w:val="20"/>
                <w:szCs w:val="20"/>
                <w:shd w:val="clear" w:color="auto" w:fill="FFFFFF"/>
              </w:rPr>
              <w:t xml:space="preserve"> </w:t>
            </w:r>
            <w:r w:rsidRPr="001454BB">
              <w:rPr>
                <w:rFonts w:ascii="Arial" w:hAnsi="Arial" w:cs="Arial"/>
                <w:sz w:val="20"/>
                <w:szCs w:val="20"/>
              </w:rPr>
              <w:t>EUR)</w:t>
            </w:r>
          </w:p>
        </w:tc>
        <w:tc>
          <w:tcPr>
            <w:tcW w:w="2572" w:type="dxa"/>
          </w:tcPr>
          <w:p w14:paraId="5CD7B12B"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c>
          <w:tcPr>
            <w:tcW w:w="2276" w:type="dxa"/>
          </w:tcPr>
          <w:p w14:paraId="59B4A2F3"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r>
      <w:tr w:rsidR="000D2194" w:rsidRPr="001454BB" w14:paraId="3B19B151" w14:textId="77777777" w:rsidTr="00DD0757">
        <w:tc>
          <w:tcPr>
            <w:tcW w:w="4214" w:type="dxa"/>
            <w:shd w:val="clear" w:color="auto" w:fill="FFE599" w:themeFill="accent4" w:themeFillTint="66"/>
          </w:tcPr>
          <w:p w14:paraId="75BB4836"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E599" w:themeFill="accent4" w:themeFillTint="66"/>
          </w:tcPr>
          <w:p w14:paraId="2CCE424C" w14:textId="77777777" w:rsidR="000D2194" w:rsidRPr="001454BB"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EUR  </w:t>
            </w:r>
          </w:p>
        </w:tc>
        <w:tc>
          <w:tcPr>
            <w:tcW w:w="2276" w:type="dxa"/>
            <w:shd w:val="clear" w:color="auto" w:fill="FFE599" w:themeFill="accent4" w:themeFillTint="66"/>
          </w:tcPr>
          <w:p w14:paraId="7FD21FC4" w14:textId="77777777" w:rsidR="000D2194" w:rsidRPr="001454BB"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EUR  </w:t>
            </w:r>
          </w:p>
        </w:tc>
      </w:tr>
      <w:tr w:rsidR="000D2194" w:rsidRPr="001454BB" w14:paraId="1635E884" w14:textId="77777777" w:rsidTr="00DD0757">
        <w:tc>
          <w:tcPr>
            <w:tcW w:w="9062" w:type="dxa"/>
            <w:gridSpan w:val="3"/>
            <w:shd w:val="clear" w:color="auto" w:fill="FFE599" w:themeFill="accent4" w:themeFillTint="66"/>
          </w:tcPr>
          <w:p w14:paraId="63B447DE" w14:textId="77777777" w:rsidR="000D2194" w:rsidRPr="001454BB" w:rsidRDefault="000D2194" w:rsidP="00DD0757">
            <w:pPr>
              <w:rPr>
                <w:rFonts w:ascii="Arial" w:hAnsi="Arial" w:cs="Arial"/>
                <w:b/>
                <w:sz w:val="20"/>
                <w:szCs w:val="20"/>
              </w:rPr>
            </w:pPr>
            <w:r w:rsidRPr="001454BB">
              <w:rPr>
                <w:rFonts w:ascii="Arial" w:hAnsi="Arial" w:cs="Arial"/>
                <w:b/>
                <w:sz w:val="20"/>
                <w:szCs w:val="20"/>
              </w:rPr>
              <w:t xml:space="preserve">Maksimalna </w:t>
            </w:r>
            <w:r>
              <w:rPr>
                <w:rFonts w:ascii="Arial" w:hAnsi="Arial" w:cs="Arial"/>
                <w:b/>
                <w:sz w:val="20"/>
                <w:szCs w:val="20"/>
              </w:rPr>
              <w:t xml:space="preserve">skupna </w:t>
            </w:r>
            <w:r w:rsidRPr="001454BB">
              <w:rPr>
                <w:rFonts w:ascii="Arial" w:hAnsi="Arial" w:cs="Arial"/>
                <w:b/>
                <w:sz w:val="20"/>
                <w:szCs w:val="20"/>
              </w:rPr>
              <w:t xml:space="preserve">kreditna sposobnost </w:t>
            </w:r>
            <w:r>
              <w:rPr>
                <w:rFonts w:ascii="Arial" w:hAnsi="Arial" w:cs="Arial"/>
                <w:b/>
                <w:sz w:val="20"/>
                <w:szCs w:val="20"/>
              </w:rPr>
              <w:t xml:space="preserve">na 15 let po dvigu min. plače </w:t>
            </w:r>
            <w:r w:rsidRPr="001454BB">
              <w:rPr>
                <w:rFonts w:ascii="Arial" w:hAnsi="Arial" w:cs="Arial"/>
                <w:b/>
                <w:sz w:val="20"/>
                <w:szCs w:val="20"/>
              </w:rPr>
              <w:t>1</w:t>
            </w:r>
            <w:r>
              <w:rPr>
                <w:rFonts w:ascii="Arial" w:hAnsi="Arial" w:cs="Arial"/>
                <w:b/>
                <w:sz w:val="20"/>
                <w:szCs w:val="20"/>
              </w:rPr>
              <w:t>24.000,00 EUR.</w:t>
            </w:r>
          </w:p>
        </w:tc>
      </w:tr>
      <w:tr w:rsidR="000D2194" w:rsidRPr="001454BB" w14:paraId="433E48F4" w14:textId="77777777" w:rsidTr="00DD0757">
        <w:tc>
          <w:tcPr>
            <w:tcW w:w="4214" w:type="dxa"/>
            <w:shd w:val="clear" w:color="auto" w:fill="auto"/>
          </w:tcPr>
          <w:p w14:paraId="2D25D3C4"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Skupna anuiteta </w:t>
            </w:r>
            <w:r w:rsidRPr="009D62A8">
              <w:rPr>
                <w:rFonts w:ascii="Arial" w:hAnsi="Arial" w:cs="Arial"/>
                <w:sz w:val="20"/>
                <w:szCs w:val="20"/>
              </w:rPr>
              <w:t>784,89</w:t>
            </w:r>
            <w:r>
              <w:rPr>
                <w:rFonts w:ascii="Arial" w:hAnsi="Arial" w:cs="Arial"/>
                <w:sz w:val="20"/>
                <w:szCs w:val="20"/>
              </w:rPr>
              <w:t xml:space="preserve"> </w:t>
            </w:r>
            <w:r w:rsidRPr="00D67105">
              <w:rPr>
                <w:rFonts w:ascii="Arial" w:hAnsi="Arial" w:cs="Arial"/>
                <w:sz w:val="20"/>
                <w:szCs w:val="20"/>
              </w:rPr>
              <w:t xml:space="preserve">EUR </w:t>
            </w:r>
            <w:r>
              <w:rPr>
                <w:rFonts w:ascii="Arial" w:hAnsi="Arial" w:cs="Arial"/>
                <w:sz w:val="20"/>
                <w:szCs w:val="20"/>
              </w:rPr>
              <w:t>fiksna om</w:t>
            </w:r>
          </w:p>
        </w:tc>
        <w:tc>
          <w:tcPr>
            <w:tcW w:w="2572" w:type="dxa"/>
            <w:shd w:val="clear" w:color="auto" w:fill="auto"/>
          </w:tcPr>
          <w:p w14:paraId="1F39C871" w14:textId="77777777" w:rsidR="000D2194" w:rsidRPr="00D67105"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w:t>
            </w:r>
            <w:r w:rsidRPr="00D67105">
              <w:rPr>
                <w:rFonts w:ascii="Arial" w:hAnsi="Arial" w:cs="Arial"/>
                <w:sz w:val="20"/>
                <w:szCs w:val="20"/>
              </w:rPr>
              <w:t xml:space="preserve">EUR </w:t>
            </w:r>
          </w:p>
        </w:tc>
        <w:tc>
          <w:tcPr>
            <w:tcW w:w="2276" w:type="dxa"/>
            <w:shd w:val="clear" w:color="auto" w:fill="auto"/>
          </w:tcPr>
          <w:p w14:paraId="06CB6069" w14:textId="77777777" w:rsidR="000D2194" w:rsidRPr="00D67105" w:rsidRDefault="000D2194" w:rsidP="00DD0757">
            <w:pPr>
              <w:rPr>
                <w:rFonts w:ascii="Arial" w:hAnsi="Arial" w:cs="Arial"/>
                <w:sz w:val="20"/>
                <w:szCs w:val="20"/>
              </w:rPr>
            </w:pPr>
            <w:r>
              <w:rPr>
                <w:rFonts w:ascii="Arial" w:hAnsi="Arial" w:cs="Arial"/>
                <w:sz w:val="20"/>
                <w:szCs w:val="20"/>
              </w:rPr>
              <w:t>391,00</w:t>
            </w:r>
            <w:r w:rsidRPr="00D67105">
              <w:rPr>
                <w:rFonts w:ascii="Arial" w:hAnsi="Arial" w:cs="Arial"/>
                <w:sz w:val="20"/>
                <w:szCs w:val="20"/>
              </w:rPr>
              <w:t xml:space="preserve"> EUR </w:t>
            </w:r>
          </w:p>
        </w:tc>
      </w:tr>
      <w:tr w:rsidR="000D2194" w:rsidRPr="001454BB" w14:paraId="75B168AA" w14:textId="77777777" w:rsidTr="00DD0757">
        <w:tc>
          <w:tcPr>
            <w:tcW w:w="4214" w:type="dxa"/>
            <w:shd w:val="clear" w:color="auto" w:fill="auto"/>
          </w:tcPr>
          <w:p w14:paraId="478183F2"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Skupna anuiteta </w:t>
            </w:r>
            <w:r w:rsidRPr="009D62A8">
              <w:rPr>
                <w:rFonts w:ascii="Arial" w:hAnsi="Arial" w:cs="Arial"/>
                <w:sz w:val="20"/>
                <w:szCs w:val="20"/>
              </w:rPr>
              <w:t>773,63</w:t>
            </w:r>
            <w:r>
              <w:rPr>
                <w:rFonts w:ascii="Arial" w:hAnsi="Arial" w:cs="Arial"/>
                <w:sz w:val="20"/>
                <w:szCs w:val="20"/>
              </w:rPr>
              <w:t xml:space="preserve"> </w:t>
            </w:r>
            <w:r w:rsidRPr="00D67105">
              <w:rPr>
                <w:rFonts w:ascii="Arial" w:hAnsi="Arial" w:cs="Arial"/>
                <w:sz w:val="20"/>
                <w:szCs w:val="20"/>
              </w:rPr>
              <w:t xml:space="preserve">EUR </w:t>
            </w:r>
            <w:r>
              <w:rPr>
                <w:rFonts w:ascii="Arial" w:hAnsi="Arial" w:cs="Arial"/>
                <w:sz w:val="20"/>
                <w:szCs w:val="20"/>
              </w:rPr>
              <w:t>variabilna om</w:t>
            </w:r>
          </w:p>
        </w:tc>
        <w:tc>
          <w:tcPr>
            <w:tcW w:w="2572" w:type="dxa"/>
            <w:shd w:val="clear" w:color="auto" w:fill="auto"/>
          </w:tcPr>
          <w:p w14:paraId="4EAFA372" w14:textId="77777777" w:rsidR="000D2194" w:rsidRPr="00D67105"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w:t>
            </w:r>
            <w:r w:rsidRPr="00D67105">
              <w:rPr>
                <w:rFonts w:ascii="Arial" w:hAnsi="Arial" w:cs="Arial"/>
                <w:sz w:val="20"/>
                <w:szCs w:val="20"/>
              </w:rPr>
              <w:t>EUR</w:t>
            </w:r>
          </w:p>
        </w:tc>
        <w:tc>
          <w:tcPr>
            <w:tcW w:w="2276" w:type="dxa"/>
            <w:shd w:val="clear" w:color="auto" w:fill="auto"/>
          </w:tcPr>
          <w:p w14:paraId="431E1FA9" w14:textId="77777777" w:rsidR="000D2194" w:rsidRPr="00D67105" w:rsidRDefault="000D2194" w:rsidP="00DD0757">
            <w:pPr>
              <w:rPr>
                <w:rFonts w:ascii="Arial" w:hAnsi="Arial" w:cs="Arial"/>
                <w:sz w:val="20"/>
                <w:szCs w:val="20"/>
              </w:rPr>
            </w:pPr>
            <w:r>
              <w:rPr>
                <w:rFonts w:ascii="Arial" w:hAnsi="Arial" w:cs="Arial"/>
                <w:sz w:val="20"/>
                <w:szCs w:val="20"/>
              </w:rPr>
              <w:t>379,74</w:t>
            </w:r>
            <w:r w:rsidRPr="00D67105">
              <w:rPr>
                <w:rFonts w:ascii="Arial" w:hAnsi="Arial" w:cs="Arial"/>
                <w:sz w:val="20"/>
                <w:szCs w:val="20"/>
              </w:rPr>
              <w:t xml:space="preserve"> EUR </w:t>
            </w:r>
          </w:p>
        </w:tc>
      </w:tr>
      <w:tr w:rsidR="000D2194" w:rsidRPr="001454BB" w14:paraId="24FE311A" w14:textId="77777777" w:rsidTr="00DD0757">
        <w:tc>
          <w:tcPr>
            <w:tcW w:w="9062" w:type="dxa"/>
            <w:gridSpan w:val="3"/>
          </w:tcPr>
          <w:p w14:paraId="32092C88" w14:textId="77777777" w:rsidR="000D2194" w:rsidRPr="00E50CB7" w:rsidRDefault="000D2194" w:rsidP="00DD0757">
            <w:pPr>
              <w:rPr>
                <w:rFonts w:ascii="Arial" w:hAnsi="Arial" w:cs="Arial"/>
                <w:b/>
                <w:i/>
                <w:color w:val="FF0000"/>
                <w:sz w:val="20"/>
                <w:szCs w:val="20"/>
              </w:rPr>
            </w:pPr>
            <w:r w:rsidRPr="00E50CB7">
              <w:rPr>
                <w:rFonts w:ascii="Arial" w:hAnsi="Arial" w:cs="Arial"/>
                <w:b/>
                <w:i/>
                <w:color w:val="FF0000"/>
                <w:sz w:val="20"/>
                <w:szCs w:val="20"/>
              </w:rPr>
              <w:t>Kreditna sposobnost se</w:t>
            </w:r>
            <w:r>
              <w:rPr>
                <w:rFonts w:ascii="Arial" w:hAnsi="Arial" w:cs="Arial"/>
                <w:b/>
                <w:i/>
                <w:color w:val="FF0000"/>
                <w:sz w:val="20"/>
                <w:szCs w:val="20"/>
              </w:rPr>
              <w:t xml:space="preserve"> je</w:t>
            </w:r>
            <w:r w:rsidRPr="00E50CB7">
              <w:rPr>
                <w:rFonts w:ascii="Arial" w:hAnsi="Arial" w:cs="Arial"/>
                <w:b/>
                <w:i/>
                <w:color w:val="FF0000"/>
                <w:sz w:val="20"/>
                <w:szCs w:val="20"/>
              </w:rPr>
              <w:t xml:space="preserve"> poslabša</w:t>
            </w:r>
            <w:r>
              <w:rPr>
                <w:rFonts w:ascii="Arial" w:hAnsi="Arial" w:cs="Arial"/>
                <w:b/>
                <w:i/>
                <w:color w:val="FF0000"/>
                <w:sz w:val="20"/>
                <w:szCs w:val="20"/>
              </w:rPr>
              <w:t>la</w:t>
            </w:r>
            <w:r w:rsidRPr="00E50CB7">
              <w:rPr>
                <w:rFonts w:ascii="Arial" w:hAnsi="Arial" w:cs="Arial"/>
                <w:b/>
                <w:i/>
                <w:color w:val="FF0000"/>
                <w:sz w:val="20"/>
                <w:szCs w:val="20"/>
              </w:rPr>
              <w:t xml:space="preserve"> za cca </w:t>
            </w:r>
            <w:r>
              <w:rPr>
                <w:rFonts w:ascii="Arial" w:hAnsi="Arial" w:cs="Arial"/>
                <w:b/>
                <w:i/>
                <w:color w:val="FF0000"/>
                <w:sz w:val="20"/>
                <w:szCs w:val="20"/>
              </w:rPr>
              <w:t>12</w:t>
            </w:r>
            <w:r w:rsidRPr="00E50CB7">
              <w:rPr>
                <w:rFonts w:ascii="Arial" w:hAnsi="Arial" w:cs="Arial"/>
                <w:b/>
                <w:i/>
                <w:color w:val="FF0000"/>
                <w:sz w:val="20"/>
                <w:szCs w:val="20"/>
              </w:rPr>
              <w:t>.000,00 EUR</w:t>
            </w:r>
          </w:p>
        </w:tc>
      </w:tr>
      <w:tr w:rsidR="000D2194" w:rsidRPr="001454BB" w14:paraId="30AA854E" w14:textId="77777777" w:rsidTr="00DD0757">
        <w:tc>
          <w:tcPr>
            <w:tcW w:w="9062" w:type="dxa"/>
            <w:gridSpan w:val="3"/>
            <w:shd w:val="clear" w:color="auto" w:fill="C5E0B3" w:themeFill="accent6" w:themeFillTint="66"/>
          </w:tcPr>
          <w:p w14:paraId="46AE882A" w14:textId="77777777" w:rsidR="000D2194" w:rsidRPr="001454BB" w:rsidRDefault="000D2194" w:rsidP="000D2194">
            <w:pPr>
              <w:pStyle w:val="ListParagraph"/>
              <w:numPr>
                <w:ilvl w:val="0"/>
                <w:numId w:val="20"/>
              </w:numPr>
              <w:rPr>
                <w:rFonts w:ascii="Arial" w:hAnsi="Arial" w:cs="Arial"/>
                <w:b/>
                <w:bCs/>
                <w:sz w:val="20"/>
                <w:szCs w:val="20"/>
              </w:rPr>
            </w:pPr>
            <w:r w:rsidRPr="001454BB">
              <w:rPr>
                <w:rFonts w:ascii="Arial" w:hAnsi="Arial" w:cs="Arial"/>
                <w:b/>
                <w:bCs/>
                <w:sz w:val="20"/>
                <w:szCs w:val="20"/>
              </w:rPr>
              <w:t>Izračun kreditne sposobnosti v primeru para s povprečnima plačama ter dvema otrokoma</w:t>
            </w:r>
          </w:p>
        </w:tc>
      </w:tr>
      <w:tr w:rsidR="000D2194" w:rsidRPr="001454BB" w14:paraId="509F10BB" w14:textId="77777777" w:rsidTr="00DD0757">
        <w:tc>
          <w:tcPr>
            <w:tcW w:w="4214" w:type="dxa"/>
            <w:shd w:val="clear" w:color="auto" w:fill="D5DCE4" w:themeFill="text2" w:themeFillTint="33"/>
          </w:tcPr>
          <w:p w14:paraId="18C8D735"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6BF4C5DF"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Posameznik 1 </w:t>
            </w:r>
          </w:p>
        </w:tc>
        <w:tc>
          <w:tcPr>
            <w:tcW w:w="2276" w:type="dxa"/>
            <w:shd w:val="clear" w:color="auto" w:fill="D5DCE4" w:themeFill="text2" w:themeFillTint="33"/>
          </w:tcPr>
          <w:p w14:paraId="2857F001" w14:textId="77777777" w:rsidR="000D2194" w:rsidRPr="001454BB" w:rsidRDefault="000D2194" w:rsidP="00DD0757">
            <w:pPr>
              <w:rPr>
                <w:rFonts w:ascii="Arial" w:hAnsi="Arial" w:cs="Arial"/>
                <w:sz w:val="20"/>
                <w:szCs w:val="20"/>
              </w:rPr>
            </w:pPr>
            <w:r w:rsidRPr="001454BB">
              <w:rPr>
                <w:rFonts w:ascii="Arial" w:hAnsi="Arial" w:cs="Arial"/>
                <w:sz w:val="20"/>
                <w:szCs w:val="20"/>
              </w:rPr>
              <w:t>Posameznik 2</w:t>
            </w:r>
          </w:p>
        </w:tc>
      </w:tr>
      <w:tr w:rsidR="000D2194" w:rsidRPr="001454BB" w14:paraId="196BCCA8" w14:textId="77777777" w:rsidTr="00DD0757">
        <w:tc>
          <w:tcPr>
            <w:tcW w:w="4214" w:type="dxa"/>
            <w:shd w:val="clear" w:color="auto" w:fill="D5DCE4" w:themeFill="text2" w:themeFillTint="33"/>
          </w:tcPr>
          <w:p w14:paraId="0151C2E2"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Povprečna neto plača </w:t>
            </w:r>
          </w:p>
          <w:p w14:paraId="38AE0FA0"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089A3775"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c>
          <w:tcPr>
            <w:tcW w:w="2276" w:type="dxa"/>
            <w:shd w:val="clear" w:color="auto" w:fill="D5DCE4" w:themeFill="text2" w:themeFillTint="33"/>
          </w:tcPr>
          <w:p w14:paraId="1F4E49A4"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r>
      <w:tr w:rsidR="000D2194" w:rsidRPr="001454BB" w14:paraId="12B83D4C" w14:textId="77777777" w:rsidTr="00DD0757">
        <w:tc>
          <w:tcPr>
            <w:tcW w:w="4214" w:type="dxa"/>
            <w:shd w:val="clear" w:color="auto" w:fill="D5DCE4" w:themeFill="text2" w:themeFillTint="33"/>
          </w:tcPr>
          <w:p w14:paraId="579705B9" w14:textId="77777777" w:rsidR="000D2194" w:rsidRPr="001454BB" w:rsidRDefault="000D2194" w:rsidP="00DD0757">
            <w:pPr>
              <w:rPr>
                <w:rFonts w:ascii="Arial" w:hAnsi="Arial" w:cs="Arial"/>
                <w:sz w:val="20"/>
                <w:szCs w:val="20"/>
              </w:rPr>
            </w:pPr>
            <w:r w:rsidRPr="001454BB">
              <w:rPr>
                <w:rFonts w:ascii="Arial" w:hAnsi="Arial" w:cs="Arial"/>
                <w:sz w:val="20"/>
                <w:szCs w:val="20"/>
              </w:rPr>
              <w:t>Strošek vzdrževanih članov – 2 otroka</w:t>
            </w:r>
          </w:p>
          <w:p w14:paraId="57C368FD"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7E9FA97E"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237,29 EUR </w:t>
            </w:r>
          </w:p>
        </w:tc>
        <w:tc>
          <w:tcPr>
            <w:tcW w:w="2276" w:type="dxa"/>
            <w:shd w:val="clear" w:color="auto" w:fill="D5DCE4" w:themeFill="text2" w:themeFillTint="33"/>
          </w:tcPr>
          <w:p w14:paraId="4E364314"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237,29 EUR </w:t>
            </w:r>
          </w:p>
        </w:tc>
      </w:tr>
      <w:tr w:rsidR="000D2194" w:rsidRPr="001454BB" w14:paraId="2B8282B0" w14:textId="77777777" w:rsidTr="00DD0757">
        <w:tc>
          <w:tcPr>
            <w:tcW w:w="4214" w:type="dxa"/>
            <w:shd w:val="clear" w:color="auto" w:fill="D5DCE4" w:themeFill="text2" w:themeFillTint="33"/>
          </w:tcPr>
          <w:p w14:paraId="411436B8" w14:textId="77777777" w:rsidR="000D2194" w:rsidRPr="001454BB" w:rsidRDefault="000D2194" w:rsidP="00DD0757">
            <w:pPr>
              <w:rPr>
                <w:rFonts w:ascii="Arial" w:hAnsi="Arial" w:cs="Arial"/>
                <w:sz w:val="20"/>
                <w:szCs w:val="20"/>
              </w:rPr>
            </w:pPr>
            <w:r w:rsidRPr="001454BB">
              <w:rPr>
                <w:rFonts w:ascii="Arial" w:hAnsi="Arial" w:cs="Arial"/>
                <w:sz w:val="20"/>
                <w:szCs w:val="20"/>
              </w:rPr>
              <w:t>Obstoječe obveznosti iz naslova kreditov in leasingov</w:t>
            </w:r>
          </w:p>
        </w:tc>
        <w:tc>
          <w:tcPr>
            <w:tcW w:w="2572" w:type="dxa"/>
            <w:shd w:val="clear" w:color="auto" w:fill="D5DCE4" w:themeFill="text2" w:themeFillTint="33"/>
          </w:tcPr>
          <w:p w14:paraId="3F840DD5"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c>
          <w:tcPr>
            <w:tcW w:w="2276" w:type="dxa"/>
            <w:shd w:val="clear" w:color="auto" w:fill="D5DCE4" w:themeFill="text2" w:themeFillTint="33"/>
          </w:tcPr>
          <w:p w14:paraId="481367D0"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r>
      <w:tr w:rsidR="000D2194" w:rsidRPr="001454BB" w14:paraId="5AB8C9D2" w14:textId="77777777" w:rsidTr="00DD0757">
        <w:tc>
          <w:tcPr>
            <w:tcW w:w="4214" w:type="dxa"/>
          </w:tcPr>
          <w:p w14:paraId="48DC5189"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w:t>
            </w:r>
            <w:r>
              <w:rPr>
                <w:rFonts w:ascii="Arial" w:hAnsi="Arial" w:cs="Arial"/>
                <w:sz w:val="20"/>
                <w:szCs w:val="20"/>
              </w:rPr>
              <w:t xml:space="preserve"> v letu 2021</w:t>
            </w:r>
            <w:r w:rsidRPr="001454BB">
              <w:rPr>
                <w:rFonts w:ascii="Arial" w:hAnsi="Arial" w:cs="Arial"/>
                <w:sz w:val="20"/>
                <w:szCs w:val="20"/>
              </w:rPr>
              <w:t xml:space="preserve"> (1</w:t>
            </w:r>
            <w:r>
              <w:rPr>
                <w:rFonts w:ascii="Arial" w:hAnsi="Arial" w:cs="Arial"/>
                <w:sz w:val="20"/>
                <w:szCs w:val="20"/>
              </w:rPr>
              <w:t>.</w:t>
            </w:r>
            <w:r w:rsidRPr="001454BB">
              <w:rPr>
                <w:rFonts w:ascii="Arial" w:hAnsi="Arial" w:cs="Arial"/>
                <w:sz w:val="20"/>
                <w:szCs w:val="20"/>
              </w:rPr>
              <w:t>024,24 EUR)</w:t>
            </w:r>
          </w:p>
        </w:tc>
        <w:tc>
          <w:tcPr>
            <w:tcW w:w="2572" w:type="dxa"/>
          </w:tcPr>
          <w:p w14:paraId="4730C611"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778,42 EUR </w:t>
            </w:r>
          </w:p>
        </w:tc>
        <w:tc>
          <w:tcPr>
            <w:tcW w:w="2276" w:type="dxa"/>
          </w:tcPr>
          <w:p w14:paraId="352B5716" w14:textId="77777777" w:rsidR="000D2194" w:rsidRPr="001454BB" w:rsidRDefault="000D2194" w:rsidP="00DD0757">
            <w:pPr>
              <w:rPr>
                <w:rFonts w:ascii="Arial" w:hAnsi="Arial" w:cs="Arial"/>
                <w:sz w:val="20"/>
                <w:szCs w:val="20"/>
              </w:rPr>
            </w:pPr>
            <w:r w:rsidRPr="001454BB">
              <w:rPr>
                <w:rFonts w:ascii="Arial" w:hAnsi="Arial" w:cs="Arial"/>
                <w:sz w:val="20"/>
                <w:szCs w:val="20"/>
              </w:rPr>
              <w:t>778,42 EUR</w:t>
            </w:r>
          </w:p>
        </w:tc>
      </w:tr>
      <w:tr w:rsidR="000D2194" w:rsidRPr="001454BB" w14:paraId="1F4743BF" w14:textId="77777777" w:rsidTr="00DD0757">
        <w:tc>
          <w:tcPr>
            <w:tcW w:w="4214" w:type="dxa"/>
            <w:shd w:val="clear" w:color="auto" w:fill="FFF2CC" w:themeFill="accent4" w:themeFillTint="33"/>
          </w:tcPr>
          <w:p w14:paraId="7E236D87"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F2CC" w:themeFill="accent4" w:themeFillTint="33"/>
          </w:tcPr>
          <w:p w14:paraId="302DD7FE"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194,75 EUR </w:t>
            </w:r>
          </w:p>
        </w:tc>
        <w:tc>
          <w:tcPr>
            <w:tcW w:w="2276" w:type="dxa"/>
            <w:shd w:val="clear" w:color="auto" w:fill="FFF2CC" w:themeFill="accent4" w:themeFillTint="33"/>
          </w:tcPr>
          <w:p w14:paraId="69C4002A"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194,75 EUR </w:t>
            </w:r>
          </w:p>
        </w:tc>
      </w:tr>
      <w:tr w:rsidR="000D2194" w:rsidRPr="001454BB" w14:paraId="443A4FC9" w14:textId="77777777" w:rsidTr="00DD0757">
        <w:tc>
          <w:tcPr>
            <w:tcW w:w="9062" w:type="dxa"/>
            <w:gridSpan w:val="3"/>
            <w:shd w:val="clear" w:color="auto" w:fill="FFF2CC" w:themeFill="accent4" w:themeFillTint="33"/>
          </w:tcPr>
          <w:p w14:paraId="0BFEACDD" w14:textId="77777777" w:rsidR="000D2194" w:rsidRPr="001454BB" w:rsidRDefault="000D2194" w:rsidP="00DD0757">
            <w:pPr>
              <w:rPr>
                <w:rFonts w:ascii="Arial" w:hAnsi="Arial" w:cs="Arial"/>
                <w:b/>
                <w:sz w:val="20"/>
                <w:szCs w:val="20"/>
              </w:rPr>
            </w:pPr>
            <w:r w:rsidRPr="00117025">
              <w:rPr>
                <w:rFonts w:ascii="Arial" w:hAnsi="Arial" w:cs="Arial"/>
                <w:b/>
                <w:sz w:val="20"/>
                <w:szCs w:val="20"/>
              </w:rPr>
              <w:t xml:space="preserve">Maksimalna kreditna sposobnost na 15 let (pred dvigom min. plače januarja 2022) </w:t>
            </w:r>
            <w:r>
              <w:rPr>
                <w:rFonts w:ascii="Arial" w:hAnsi="Arial" w:cs="Arial"/>
                <w:b/>
                <w:sz w:val="20"/>
                <w:szCs w:val="20"/>
              </w:rPr>
              <w:t>61.000,00 EUR.</w:t>
            </w:r>
          </w:p>
        </w:tc>
      </w:tr>
      <w:tr w:rsidR="000D2194" w:rsidRPr="001454BB" w14:paraId="5E0DF6DC" w14:textId="77777777" w:rsidTr="00DD0757">
        <w:tc>
          <w:tcPr>
            <w:tcW w:w="4214" w:type="dxa"/>
          </w:tcPr>
          <w:p w14:paraId="0C13A006" w14:textId="77777777" w:rsidR="000D2194" w:rsidRPr="001454BB" w:rsidRDefault="000D2194" w:rsidP="00DD0757">
            <w:pPr>
              <w:rPr>
                <w:rFonts w:ascii="Arial" w:hAnsi="Arial" w:cs="Arial"/>
                <w:sz w:val="20"/>
                <w:szCs w:val="20"/>
              </w:rPr>
            </w:pPr>
            <w:r>
              <w:rPr>
                <w:rFonts w:ascii="Arial" w:hAnsi="Arial" w:cs="Arial"/>
                <w:sz w:val="20"/>
                <w:szCs w:val="20"/>
              </w:rPr>
              <w:t>Skupna a</w:t>
            </w:r>
            <w:r w:rsidRPr="001454BB">
              <w:rPr>
                <w:rFonts w:ascii="Arial" w:hAnsi="Arial" w:cs="Arial"/>
                <w:sz w:val="20"/>
                <w:szCs w:val="20"/>
              </w:rPr>
              <w:t xml:space="preserve">nuiteta </w:t>
            </w:r>
            <w:r w:rsidRPr="00FA32F4">
              <w:rPr>
                <w:rFonts w:ascii="Arial" w:hAnsi="Arial" w:cs="Arial"/>
                <w:sz w:val="20"/>
                <w:szCs w:val="20"/>
              </w:rPr>
              <w:t>386,11</w:t>
            </w:r>
            <w:r>
              <w:rPr>
                <w:rFonts w:ascii="Arial" w:hAnsi="Arial" w:cs="Arial"/>
                <w:sz w:val="20"/>
                <w:szCs w:val="20"/>
              </w:rPr>
              <w:t xml:space="preserve"> </w:t>
            </w:r>
            <w:r w:rsidRPr="001454BB">
              <w:rPr>
                <w:rFonts w:ascii="Arial" w:hAnsi="Arial" w:cs="Arial"/>
                <w:sz w:val="20"/>
                <w:szCs w:val="20"/>
              </w:rPr>
              <w:t xml:space="preserve">EUR </w:t>
            </w:r>
            <w:r>
              <w:rPr>
                <w:rFonts w:ascii="Arial" w:hAnsi="Arial" w:cs="Arial"/>
                <w:sz w:val="20"/>
                <w:szCs w:val="20"/>
              </w:rPr>
              <w:t>fiksna om</w:t>
            </w:r>
          </w:p>
        </w:tc>
        <w:tc>
          <w:tcPr>
            <w:tcW w:w="2572" w:type="dxa"/>
          </w:tcPr>
          <w:p w14:paraId="67EEBD06" w14:textId="77777777" w:rsidR="000D2194" w:rsidRPr="001454BB" w:rsidRDefault="000D2194" w:rsidP="00DD0757">
            <w:pPr>
              <w:rPr>
                <w:rFonts w:ascii="Arial" w:hAnsi="Arial" w:cs="Arial"/>
                <w:sz w:val="20"/>
                <w:szCs w:val="20"/>
              </w:rPr>
            </w:pPr>
            <w:r w:rsidRPr="001454BB">
              <w:rPr>
                <w:rFonts w:ascii="Arial" w:hAnsi="Arial" w:cs="Arial"/>
                <w:sz w:val="20"/>
                <w:szCs w:val="20"/>
              </w:rPr>
              <w:t>194,75 EUR</w:t>
            </w:r>
          </w:p>
        </w:tc>
        <w:tc>
          <w:tcPr>
            <w:tcW w:w="2276" w:type="dxa"/>
          </w:tcPr>
          <w:p w14:paraId="4CD68DE2" w14:textId="77777777" w:rsidR="000D2194" w:rsidRPr="001454BB" w:rsidRDefault="000D2194" w:rsidP="00DD0757">
            <w:pPr>
              <w:rPr>
                <w:rFonts w:ascii="Arial" w:hAnsi="Arial" w:cs="Arial"/>
                <w:sz w:val="20"/>
                <w:szCs w:val="20"/>
              </w:rPr>
            </w:pPr>
            <w:r w:rsidRPr="00FA32F4">
              <w:rPr>
                <w:rFonts w:ascii="Arial" w:hAnsi="Arial" w:cs="Arial"/>
                <w:sz w:val="20"/>
                <w:szCs w:val="20"/>
              </w:rPr>
              <w:t xml:space="preserve">191,36 </w:t>
            </w:r>
            <w:r w:rsidRPr="001454BB">
              <w:rPr>
                <w:rFonts w:ascii="Arial" w:hAnsi="Arial" w:cs="Arial"/>
                <w:sz w:val="20"/>
                <w:szCs w:val="20"/>
              </w:rPr>
              <w:t xml:space="preserve">EUR </w:t>
            </w:r>
          </w:p>
        </w:tc>
      </w:tr>
      <w:tr w:rsidR="000D2194" w:rsidRPr="001454BB" w14:paraId="3FE970AD" w14:textId="77777777" w:rsidTr="00DD0757">
        <w:tc>
          <w:tcPr>
            <w:tcW w:w="4214" w:type="dxa"/>
          </w:tcPr>
          <w:p w14:paraId="58C43501" w14:textId="77777777" w:rsidR="000D2194" w:rsidRPr="001454BB" w:rsidRDefault="000D2194" w:rsidP="00DD0757">
            <w:pPr>
              <w:rPr>
                <w:rFonts w:ascii="Arial" w:hAnsi="Arial" w:cs="Arial"/>
                <w:sz w:val="20"/>
                <w:szCs w:val="20"/>
              </w:rPr>
            </w:pPr>
            <w:r>
              <w:rPr>
                <w:rFonts w:ascii="Arial" w:hAnsi="Arial" w:cs="Arial"/>
                <w:sz w:val="20"/>
                <w:szCs w:val="20"/>
              </w:rPr>
              <w:t>Skupna a</w:t>
            </w:r>
            <w:r w:rsidRPr="001454BB">
              <w:rPr>
                <w:rFonts w:ascii="Arial" w:hAnsi="Arial" w:cs="Arial"/>
                <w:sz w:val="20"/>
                <w:szCs w:val="20"/>
              </w:rPr>
              <w:t xml:space="preserve">nuiteta </w:t>
            </w:r>
            <w:r w:rsidRPr="00FA32F4">
              <w:rPr>
                <w:rFonts w:ascii="Arial" w:hAnsi="Arial" w:cs="Arial"/>
                <w:sz w:val="20"/>
                <w:szCs w:val="20"/>
              </w:rPr>
              <w:t>380,58</w:t>
            </w:r>
            <w:r>
              <w:rPr>
                <w:rFonts w:ascii="Arial" w:hAnsi="Arial" w:cs="Arial"/>
                <w:sz w:val="20"/>
                <w:szCs w:val="20"/>
              </w:rPr>
              <w:t xml:space="preserve"> </w:t>
            </w:r>
            <w:r w:rsidRPr="001454BB">
              <w:rPr>
                <w:rFonts w:ascii="Arial" w:hAnsi="Arial" w:cs="Arial"/>
                <w:sz w:val="20"/>
                <w:szCs w:val="20"/>
              </w:rPr>
              <w:t xml:space="preserve">EUR </w:t>
            </w:r>
            <w:r>
              <w:rPr>
                <w:rFonts w:ascii="Arial" w:hAnsi="Arial" w:cs="Arial"/>
                <w:sz w:val="20"/>
                <w:szCs w:val="20"/>
              </w:rPr>
              <w:t>variabilna om</w:t>
            </w:r>
          </w:p>
        </w:tc>
        <w:tc>
          <w:tcPr>
            <w:tcW w:w="2572" w:type="dxa"/>
          </w:tcPr>
          <w:p w14:paraId="7A325475" w14:textId="77777777" w:rsidR="000D2194" w:rsidRPr="001454BB" w:rsidRDefault="000D2194" w:rsidP="00DD0757">
            <w:pPr>
              <w:rPr>
                <w:rFonts w:ascii="Arial" w:hAnsi="Arial" w:cs="Arial"/>
                <w:sz w:val="20"/>
                <w:szCs w:val="20"/>
              </w:rPr>
            </w:pPr>
            <w:r w:rsidRPr="001454BB">
              <w:rPr>
                <w:rFonts w:ascii="Arial" w:hAnsi="Arial" w:cs="Arial"/>
                <w:sz w:val="20"/>
                <w:szCs w:val="20"/>
              </w:rPr>
              <w:t>194,75 EUR</w:t>
            </w:r>
            <w:r w:rsidRPr="001454BB">
              <w:rPr>
                <w:rFonts w:ascii="Arial" w:hAnsi="Arial" w:cs="Arial"/>
                <w:b/>
                <w:bCs/>
                <w:color w:val="4A4545"/>
                <w:sz w:val="20"/>
                <w:szCs w:val="20"/>
                <w:shd w:val="clear" w:color="auto" w:fill="FFFFFF"/>
              </w:rPr>
              <w:t xml:space="preserve"> </w:t>
            </w:r>
          </w:p>
        </w:tc>
        <w:tc>
          <w:tcPr>
            <w:tcW w:w="2276" w:type="dxa"/>
          </w:tcPr>
          <w:p w14:paraId="77DEF853" w14:textId="77777777" w:rsidR="000D2194" w:rsidRPr="001454BB" w:rsidRDefault="000D2194" w:rsidP="00DD0757">
            <w:pPr>
              <w:rPr>
                <w:rFonts w:ascii="Arial" w:hAnsi="Arial" w:cs="Arial"/>
                <w:sz w:val="20"/>
                <w:szCs w:val="20"/>
              </w:rPr>
            </w:pPr>
            <w:r w:rsidRPr="00FA32F4">
              <w:rPr>
                <w:rFonts w:ascii="Arial" w:hAnsi="Arial" w:cs="Arial"/>
                <w:sz w:val="20"/>
                <w:szCs w:val="20"/>
              </w:rPr>
              <w:t>185,83</w:t>
            </w:r>
            <w:r>
              <w:rPr>
                <w:rFonts w:ascii="Arial" w:hAnsi="Arial" w:cs="Arial"/>
                <w:sz w:val="20"/>
                <w:szCs w:val="20"/>
              </w:rPr>
              <w:t xml:space="preserve"> </w:t>
            </w:r>
            <w:r w:rsidRPr="001454BB">
              <w:rPr>
                <w:rFonts w:ascii="Arial" w:hAnsi="Arial" w:cs="Arial"/>
                <w:sz w:val="20"/>
                <w:szCs w:val="20"/>
              </w:rPr>
              <w:t>EUR  </w:t>
            </w:r>
          </w:p>
        </w:tc>
      </w:tr>
      <w:tr w:rsidR="000D2194" w:rsidRPr="001454BB" w14:paraId="51D8F5BE" w14:textId="77777777" w:rsidTr="00DD0757">
        <w:tc>
          <w:tcPr>
            <w:tcW w:w="9062" w:type="dxa"/>
            <w:gridSpan w:val="3"/>
            <w:shd w:val="clear" w:color="auto" w:fill="00B0F0"/>
          </w:tcPr>
          <w:p w14:paraId="799485AB" w14:textId="77777777" w:rsidR="000D2194" w:rsidRPr="001454BB" w:rsidRDefault="000D2194" w:rsidP="00DD0757">
            <w:pPr>
              <w:rPr>
                <w:rFonts w:ascii="Arial" w:hAnsi="Arial" w:cs="Arial"/>
                <w:sz w:val="20"/>
                <w:szCs w:val="20"/>
              </w:rPr>
            </w:pPr>
            <w:r>
              <w:rPr>
                <w:rFonts w:ascii="Arial" w:hAnsi="Arial" w:cs="Arial"/>
                <w:sz w:val="20"/>
                <w:szCs w:val="20"/>
              </w:rPr>
              <w:t xml:space="preserve">Učinek </w:t>
            </w:r>
            <w:r w:rsidRPr="001454BB">
              <w:rPr>
                <w:rFonts w:ascii="Arial" w:hAnsi="Arial" w:cs="Arial"/>
                <w:sz w:val="20"/>
                <w:szCs w:val="20"/>
              </w:rPr>
              <w:t xml:space="preserve">ob zvišanju minimalne bruto plače za </w:t>
            </w:r>
            <w:r>
              <w:rPr>
                <w:rFonts w:ascii="Arial" w:hAnsi="Arial" w:cs="Arial"/>
                <w:sz w:val="20"/>
                <w:szCs w:val="20"/>
              </w:rPr>
              <w:t xml:space="preserve">4,90 </w:t>
            </w:r>
            <w:r w:rsidRPr="001454BB">
              <w:rPr>
                <w:rFonts w:ascii="Arial" w:hAnsi="Arial" w:cs="Arial"/>
                <w:sz w:val="20"/>
                <w:szCs w:val="20"/>
              </w:rPr>
              <w:t>% iz 1</w:t>
            </w:r>
            <w:r>
              <w:rPr>
                <w:rFonts w:ascii="Arial" w:hAnsi="Arial" w:cs="Arial"/>
                <w:sz w:val="20"/>
                <w:szCs w:val="20"/>
              </w:rPr>
              <w:t>.</w:t>
            </w:r>
            <w:r w:rsidRPr="001454BB">
              <w:rPr>
                <w:rFonts w:ascii="Arial" w:hAnsi="Arial" w:cs="Arial"/>
                <w:sz w:val="20"/>
                <w:szCs w:val="20"/>
              </w:rPr>
              <w:t xml:space="preserve">024,24 EUR na </w:t>
            </w:r>
            <w:r w:rsidRPr="00054DCB">
              <w:rPr>
                <w:rFonts w:ascii="Arial" w:hAnsi="Arial" w:cs="Arial"/>
                <w:sz w:val="20"/>
                <w:szCs w:val="20"/>
              </w:rPr>
              <w:t>1</w:t>
            </w:r>
            <w:r>
              <w:rPr>
                <w:rFonts w:ascii="Arial" w:hAnsi="Arial" w:cs="Arial"/>
                <w:sz w:val="20"/>
                <w:szCs w:val="20"/>
              </w:rPr>
              <w:t>.</w:t>
            </w:r>
            <w:r w:rsidRPr="00054DCB">
              <w:rPr>
                <w:rFonts w:ascii="Arial" w:hAnsi="Arial" w:cs="Arial"/>
                <w:sz w:val="20"/>
                <w:szCs w:val="20"/>
              </w:rPr>
              <w:t xml:space="preserve">074,43 </w:t>
            </w:r>
            <w:r w:rsidRPr="001454BB">
              <w:rPr>
                <w:rFonts w:ascii="Arial" w:hAnsi="Arial" w:cs="Arial"/>
                <w:sz w:val="20"/>
                <w:szCs w:val="20"/>
              </w:rPr>
              <w:t>EUR</w:t>
            </w:r>
          </w:p>
        </w:tc>
      </w:tr>
      <w:tr w:rsidR="000D2194" w:rsidRPr="001454BB" w14:paraId="6513FBA2" w14:textId="77777777" w:rsidTr="00DD0757">
        <w:tc>
          <w:tcPr>
            <w:tcW w:w="4214" w:type="dxa"/>
          </w:tcPr>
          <w:p w14:paraId="0B586759"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 (</w:t>
            </w:r>
            <w:r>
              <w:rPr>
                <w:rFonts w:ascii="Arial" w:hAnsi="Arial" w:cs="Arial"/>
                <w:color w:val="3D3D3D"/>
                <w:sz w:val="20"/>
                <w:szCs w:val="20"/>
                <w:shd w:val="clear" w:color="auto" w:fill="FFFFFF"/>
              </w:rPr>
              <w:t>1.074,43</w:t>
            </w:r>
            <w:r w:rsidRPr="001454BB">
              <w:rPr>
                <w:rFonts w:ascii="Arial" w:hAnsi="Arial" w:cs="Arial"/>
                <w:color w:val="3D3D3D"/>
                <w:sz w:val="20"/>
                <w:szCs w:val="20"/>
                <w:shd w:val="clear" w:color="auto" w:fill="FFFFFF"/>
              </w:rPr>
              <w:t xml:space="preserve"> </w:t>
            </w:r>
            <w:r w:rsidRPr="001454BB">
              <w:rPr>
                <w:rFonts w:ascii="Arial" w:hAnsi="Arial" w:cs="Arial"/>
                <w:sz w:val="20"/>
                <w:szCs w:val="20"/>
              </w:rPr>
              <w:t>EUR)</w:t>
            </w:r>
          </w:p>
        </w:tc>
        <w:tc>
          <w:tcPr>
            <w:tcW w:w="2572" w:type="dxa"/>
          </w:tcPr>
          <w:p w14:paraId="59817555"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c>
          <w:tcPr>
            <w:tcW w:w="2276" w:type="dxa"/>
          </w:tcPr>
          <w:p w14:paraId="567F19F7"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r>
      <w:tr w:rsidR="000D2194" w:rsidRPr="001454BB" w14:paraId="197BE18B" w14:textId="77777777" w:rsidTr="00DD0757">
        <w:tc>
          <w:tcPr>
            <w:tcW w:w="4214" w:type="dxa"/>
            <w:shd w:val="clear" w:color="auto" w:fill="FFE599" w:themeFill="accent4" w:themeFillTint="66"/>
          </w:tcPr>
          <w:p w14:paraId="4AA96D10"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E599" w:themeFill="accent4" w:themeFillTint="66"/>
          </w:tcPr>
          <w:p w14:paraId="60C9D846"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  </w:t>
            </w:r>
          </w:p>
        </w:tc>
        <w:tc>
          <w:tcPr>
            <w:tcW w:w="2276" w:type="dxa"/>
            <w:shd w:val="clear" w:color="auto" w:fill="FFE599" w:themeFill="accent4" w:themeFillTint="66"/>
          </w:tcPr>
          <w:p w14:paraId="3A7AF0FD"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  </w:t>
            </w:r>
          </w:p>
        </w:tc>
      </w:tr>
      <w:tr w:rsidR="000D2194" w:rsidRPr="001454BB" w14:paraId="4A852B31" w14:textId="77777777" w:rsidTr="00DD0757">
        <w:tc>
          <w:tcPr>
            <w:tcW w:w="9062" w:type="dxa"/>
            <w:gridSpan w:val="3"/>
            <w:shd w:val="clear" w:color="auto" w:fill="FFE599" w:themeFill="accent4" w:themeFillTint="66"/>
          </w:tcPr>
          <w:p w14:paraId="40885DD9" w14:textId="77777777" w:rsidR="000D2194" w:rsidRPr="001454BB" w:rsidRDefault="000D2194" w:rsidP="00DD0757">
            <w:pPr>
              <w:rPr>
                <w:rFonts w:ascii="Arial" w:hAnsi="Arial" w:cs="Arial"/>
                <w:b/>
                <w:sz w:val="20"/>
                <w:szCs w:val="20"/>
              </w:rPr>
            </w:pPr>
            <w:r w:rsidRPr="001454BB">
              <w:rPr>
                <w:rFonts w:ascii="Arial" w:hAnsi="Arial" w:cs="Arial"/>
                <w:b/>
                <w:sz w:val="20"/>
                <w:szCs w:val="20"/>
              </w:rPr>
              <w:t xml:space="preserve">Maksimalna </w:t>
            </w:r>
            <w:r>
              <w:rPr>
                <w:rFonts w:ascii="Arial" w:hAnsi="Arial" w:cs="Arial"/>
                <w:b/>
                <w:sz w:val="20"/>
                <w:szCs w:val="20"/>
              </w:rPr>
              <w:t xml:space="preserve">skupna </w:t>
            </w:r>
            <w:r w:rsidRPr="001454BB">
              <w:rPr>
                <w:rFonts w:ascii="Arial" w:hAnsi="Arial" w:cs="Arial"/>
                <w:b/>
                <w:sz w:val="20"/>
                <w:szCs w:val="20"/>
              </w:rPr>
              <w:t xml:space="preserve">kreditna sposobnost </w:t>
            </w:r>
            <w:r>
              <w:rPr>
                <w:rFonts w:ascii="Arial" w:hAnsi="Arial" w:cs="Arial"/>
                <w:b/>
                <w:sz w:val="20"/>
                <w:szCs w:val="20"/>
              </w:rPr>
              <w:t>na 15 let po dvigu minimalne plače 49</w:t>
            </w:r>
            <w:r w:rsidRPr="001454BB">
              <w:rPr>
                <w:rFonts w:ascii="Arial" w:hAnsi="Arial" w:cs="Arial"/>
                <w:b/>
                <w:sz w:val="20"/>
                <w:szCs w:val="20"/>
              </w:rPr>
              <w:t>.000,00 EUR</w:t>
            </w:r>
            <w:r>
              <w:rPr>
                <w:rFonts w:ascii="Arial" w:hAnsi="Arial" w:cs="Arial"/>
                <w:b/>
                <w:sz w:val="20"/>
                <w:szCs w:val="20"/>
              </w:rPr>
              <w:t>.</w:t>
            </w:r>
          </w:p>
        </w:tc>
      </w:tr>
      <w:tr w:rsidR="000D2194" w:rsidRPr="001454BB" w14:paraId="2D077077" w14:textId="77777777" w:rsidTr="00DD0757">
        <w:tc>
          <w:tcPr>
            <w:tcW w:w="4214" w:type="dxa"/>
          </w:tcPr>
          <w:p w14:paraId="71D6DD13"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Skupna anuiteta </w:t>
            </w:r>
            <w:r w:rsidRPr="00192B5A">
              <w:rPr>
                <w:rFonts w:ascii="Arial" w:hAnsi="Arial" w:cs="Arial"/>
                <w:sz w:val="20"/>
                <w:szCs w:val="20"/>
              </w:rPr>
              <w:t>310,16</w:t>
            </w:r>
            <w:r>
              <w:rPr>
                <w:rFonts w:ascii="Arial" w:hAnsi="Arial" w:cs="Arial"/>
                <w:sz w:val="20"/>
                <w:szCs w:val="20"/>
              </w:rPr>
              <w:t xml:space="preserve"> EUR fiksna om</w:t>
            </w:r>
          </w:p>
        </w:tc>
        <w:tc>
          <w:tcPr>
            <w:tcW w:w="2572" w:type="dxa"/>
          </w:tcPr>
          <w:p w14:paraId="5AEC1FC8"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 </w:t>
            </w:r>
          </w:p>
        </w:tc>
        <w:tc>
          <w:tcPr>
            <w:tcW w:w="2276" w:type="dxa"/>
          </w:tcPr>
          <w:p w14:paraId="2F8C1B7E" w14:textId="77777777" w:rsidR="000D2194" w:rsidRPr="001454BB" w:rsidRDefault="000D2194" w:rsidP="00DD0757">
            <w:pPr>
              <w:rPr>
                <w:rFonts w:ascii="Arial" w:hAnsi="Arial" w:cs="Arial"/>
                <w:sz w:val="20"/>
                <w:szCs w:val="20"/>
              </w:rPr>
            </w:pPr>
            <w:r>
              <w:rPr>
                <w:rFonts w:ascii="Arial" w:hAnsi="Arial" w:cs="Arial"/>
                <w:sz w:val="20"/>
                <w:szCs w:val="20"/>
              </w:rPr>
              <w:t>153,56</w:t>
            </w:r>
            <w:r w:rsidRPr="001454BB">
              <w:rPr>
                <w:rFonts w:ascii="Arial" w:hAnsi="Arial" w:cs="Arial"/>
                <w:sz w:val="20"/>
                <w:szCs w:val="20"/>
              </w:rPr>
              <w:t xml:space="preserve"> EUR </w:t>
            </w:r>
          </w:p>
        </w:tc>
      </w:tr>
      <w:tr w:rsidR="000D2194" w:rsidRPr="001454BB" w14:paraId="3D1C0818" w14:textId="77777777" w:rsidTr="00DD0757">
        <w:tc>
          <w:tcPr>
            <w:tcW w:w="4214" w:type="dxa"/>
          </w:tcPr>
          <w:p w14:paraId="117247D8"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Skupna anuiteta </w:t>
            </w:r>
            <w:r w:rsidRPr="00192B5A">
              <w:rPr>
                <w:rFonts w:ascii="Arial" w:hAnsi="Arial" w:cs="Arial"/>
                <w:sz w:val="20"/>
                <w:szCs w:val="20"/>
              </w:rPr>
              <w:t>305,71</w:t>
            </w:r>
            <w:r>
              <w:rPr>
                <w:rFonts w:ascii="Arial" w:hAnsi="Arial" w:cs="Arial"/>
                <w:sz w:val="20"/>
                <w:szCs w:val="20"/>
              </w:rPr>
              <w:t xml:space="preserve"> </w:t>
            </w:r>
            <w:r w:rsidRPr="001454BB">
              <w:rPr>
                <w:rFonts w:ascii="Arial" w:hAnsi="Arial" w:cs="Arial"/>
                <w:sz w:val="20"/>
                <w:szCs w:val="20"/>
              </w:rPr>
              <w:t xml:space="preserve">EUR </w:t>
            </w:r>
            <w:r>
              <w:rPr>
                <w:rFonts w:ascii="Arial" w:hAnsi="Arial" w:cs="Arial"/>
                <w:sz w:val="20"/>
                <w:szCs w:val="20"/>
              </w:rPr>
              <w:t>variabilna om</w:t>
            </w:r>
          </w:p>
        </w:tc>
        <w:tc>
          <w:tcPr>
            <w:tcW w:w="2572" w:type="dxa"/>
          </w:tcPr>
          <w:p w14:paraId="683AEF4D"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w:t>
            </w:r>
          </w:p>
        </w:tc>
        <w:tc>
          <w:tcPr>
            <w:tcW w:w="2276" w:type="dxa"/>
          </w:tcPr>
          <w:p w14:paraId="37FB41E7" w14:textId="77777777" w:rsidR="000D2194" w:rsidRPr="001454BB" w:rsidRDefault="000D2194" w:rsidP="00DD0757">
            <w:pPr>
              <w:rPr>
                <w:rFonts w:ascii="Arial" w:hAnsi="Arial" w:cs="Arial"/>
                <w:sz w:val="20"/>
                <w:szCs w:val="20"/>
              </w:rPr>
            </w:pPr>
            <w:r>
              <w:rPr>
                <w:rFonts w:ascii="Arial" w:hAnsi="Arial" w:cs="Arial"/>
                <w:sz w:val="20"/>
                <w:szCs w:val="20"/>
              </w:rPr>
              <w:t>149,11</w:t>
            </w:r>
            <w:r w:rsidRPr="001454BB">
              <w:rPr>
                <w:rFonts w:ascii="Arial" w:hAnsi="Arial" w:cs="Arial"/>
                <w:sz w:val="20"/>
                <w:szCs w:val="20"/>
              </w:rPr>
              <w:t xml:space="preserve"> EUR </w:t>
            </w:r>
          </w:p>
        </w:tc>
      </w:tr>
      <w:tr w:rsidR="000D2194" w:rsidRPr="001454BB" w14:paraId="06762BAD" w14:textId="77777777" w:rsidTr="00DD0757">
        <w:tc>
          <w:tcPr>
            <w:tcW w:w="9062" w:type="dxa"/>
            <w:gridSpan w:val="3"/>
          </w:tcPr>
          <w:p w14:paraId="776F5E00" w14:textId="77777777" w:rsidR="000D2194" w:rsidRPr="00E50CB7" w:rsidRDefault="000D2194" w:rsidP="00DD0757">
            <w:pPr>
              <w:rPr>
                <w:rFonts w:ascii="Arial" w:hAnsi="Arial" w:cs="Arial"/>
                <w:b/>
                <w:i/>
                <w:color w:val="FF0000"/>
                <w:sz w:val="20"/>
                <w:szCs w:val="20"/>
              </w:rPr>
            </w:pPr>
            <w:r w:rsidRPr="00E50CB7">
              <w:rPr>
                <w:rFonts w:ascii="Arial" w:hAnsi="Arial" w:cs="Arial"/>
                <w:b/>
                <w:i/>
                <w:color w:val="FF0000"/>
                <w:sz w:val="20"/>
                <w:szCs w:val="20"/>
              </w:rPr>
              <w:t>Kreditna sposobnost se poslabš</w:t>
            </w:r>
            <w:r>
              <w:rPr>
                <w:rFonts w:ascii="Arial" w:hAnsi="Arial" w:cs="Arial"/>
                <w:b/>
                <w:i/>
                <w:color w:val="FF0000"/>
                <w:sz w:val="20"/>
                <w:szCs w:val="20"/>
              </w:rPr>
              <w:t>al</w:t>
            </w:r>
            <w:r w:rsidRPr="00E50CB7">
              <w:rPr>
                <w:rFonts w:ascii="Arial" w:hAnsi="Arial" w:cs="Arial"/>
                <w:b/>
                <w:i/>
                <w:color w:val="FF0000"/>
                <w:sz w:val="20"/>
                <w:szCs w:val="20"/>
              </w:rPr>
              <w:t xml:space="preserve">a za cca </w:t>
            </w:r>
            <w:r>
              <w:rPr>
                <w:rFonts w:ascii="Arial" w:hAnsi="Arial" w:cs="Arial"/>
                <w:b/>
                <w:i/>
                <w:color w:val="FF0000"/>
                <w:sz w:val="20"/>
                <w:szCs w:val="20"/>
              </w:rPr>
              <w:t>12</w:t>
            </w:r>
            <w:r w:rsidRPr="00E50CB7">
              <w:rPr>
                <w:rFonts w:ascii="Arial" w:hAnsi="Arial" w:cs="Arial"/>
                <w:b/>
                <w:i/>
                <w:color w:val="FF0000"/>
                <w:sz w:val="20"/>
                <w:szCs w:val="20"/>
              </w:rPr>
              <w:t>.000,00 EUR.</w:t>
            </w:r>
          </w:p>
        </w:tc>
      </w:tr>
    </w:tbl>
    <w:p w14:paraId="7E76411E" w14:textId="77777777" w:rsidR="000D2194" w:rsidRPr="00C226E8" w:rsidRDefault="000D2194" w:rsidP="000D2194">
      <w:pPr>
        <w:rPr>
          <w:rFonts w:ascii="Arial" w:hAnsi="Arial" w:cs="Arial"/>
          <w:i/>
          <w:sz w:val="18"/>
          <w:szCs w:val="18"/>
        </w:rPr>
      </w:pPr>
      <w:r w:rsidRPr="00C226E8">
        <w:rPr>
          <w:rFonts w:ascii="Arial" w:hAnsi="Arial" w:cs="Arial"/>
          <w:i/>
          <w:sz w:val="18"/>
          <w:szCs w:val="18"/>
        </w:rPr>
        <w:t>*</w:t>
      </w:r>
      <w:r>
        <w:rPr>
          <w:rFonts w:ascii="Arial" w:hAnsi="Arial" w:cs="Arial"/>
          <w:i/>
          <w:sz w:val="18"/>
          <w:szCs w:val="18"/>
        </w:rPr>
        <w:t>P</w:t>
      </w:r>
      <w:r w:rsidRPr="00C226E8">
        <w:rPr>
          <w:rFonts w:ascii="Arial" w:hAnsi="Arial" w:cs="Arial"/>
          <w:i/>
          <w:sz w:val="18"/>
          <w:szCs w:val="18"/>
        </w:rPr>
        <w:t xml:space="preserve">ri izračunu anuitet sta upoštevani povprečna </w:t>
      </w:r>
      <w:r>
        <w:rPr>
          <w:rFonts w:ascii="Arial" w:hAnsi="Arial" w:cs="Arial"/>
          <w:i/>
          <w:sz w:val="18"/>
          <w:szCs w:val="18"/>
        </w:rPr>
        <w:t xml:space="preserve">realizirana </w:t>
      </w:r>
      <w:r w:rsidRPr="00C226E8">
        <w:rPr>
          <w:rFonts w:ascii="Arial" w:hAnsi="Arial" w:cs="Arial"/>
          <w:i/>
          <w:sz w:val="18"/>
          <w:szCs w:val="18"/>
        </w:rPr>
        <w:t xml:space="preserve">fiksna in povprečna </w:t>
      </w:r>
      <w:r>
        <w:rPr>
          <w:rFonts w:ascii="Arial" w:hAnsi="Arial" w:cs="Arial"/>
          <w:i/>
          <w:sz w:val="18"/>
          <w:szCs w:val="18"/>
        </w:rPr>
        <w:t xml:space="preserve">realizirana </w:t>
      </w:r>
      <w:r w:rsidRPr="00C226E8">
        <w:rPr>
          <w:rFonts w:ascii="Arial" w:hAnsi="Arial" w:cs="Arial"/>
          <w:i/>
          <w:sz w:val="18"/>
          <w:szCs w:val="18"/>
        </w:rPr>
        <w:t>variabilna obrestna za september 2</w:t>
      </w:r>
      <w:r>
        <w:rPr>
          <w:rFonts w:ascii="Arial" w:hAnsi="Arial" w:cs="Arial"/>
          <w:i/>
          <w:sz w:val="18"/>
          <w:szCs w:val="18"/>
        </w:rPr>
        <w:t xml:space="preserve">021 objavljeni v Biltenu BS 11/2021 (fiksna OM 1,77% in variabilna obrestna mera 6-mesečni </w:t>
      </w:r>
      <w:proofErr w:type="spellStart"/>
      <w:r>
        <w:rPr>
          <w:rFonts w:ascii="Arial" w:hAnsi="Arial" w:cs="Arial"/>
          <w:i/>
          <w:sz w:val="18"/>
          <w:szCs w:val="18"/>
        </w:rPr>
        <w:t>Euribor</w:t>
      </w:r>
      <w:proofErr w:type="spellEnd"/>
      <w:r>
        <w:rPr>
          <w:rFonts w:ascii="Arial" w:hAnsi="Arial" w:cs="Arial"/>
          <w:i/>
          <w:sz w:val="18"/>
          <w:szCs w:val="18"/>
        </w:rPr>
        <w:t xml:space="preserve"> in pribitek 1,57%, v primeru negativne vrednosti referenčne obrestne mere smo upoštevali, da znaša referenčna vrednost 0,00%).</w:t>
      </w:r>
    </w:p>
    <w:p w14:paraId="698FF03F" w14:textId="59BB7814" w:rsidR="004830B9" w:rsidRDefault="004830B9" w:rsidP="007F11EF">
      <w:pPr>
        <w:tabs>
          <w:tab w:val="left" w:pos="708"/>
        </w:tabs>
        <w:autoSpaceDN w:val="0"/>
        <w:jc w:val="both"/>
        <w:rPr>
          <w:rFonts w:ascii="Tahoma" w:hAnsi="Tahoma" w:cs="Tahoma"/>
        </w:rPr>
      </w:pPr>
    </w:p>
    <w:p w14:paraId="07FA8FAE" w14:textId="3266B5B7" w:rsidR="00EB40B6" w:rsidRDefault="00EB40B6" w:rsidP="007F11EF">
      <w:pPr>
        <w:tabs>
          <w:tab w:val="left" w:pos="708"/>
        </w:tabs>
        <w:autoSpaceDN w:val="0"/>
        <w:jc w:val="both"/>
        <w:rPr>
          <w:rFonts w:ascii="Tahoma" w:hAnsi="Tahoma" w:cs="Tahoma"/>
        </w:rPr>
      </w:pPr>
    </w:p>
    <w:tbl>
      <w:tblPr>
        <w:tblStyle w:val="TableGrid"/>
        <w:tblW w:w="0" w:type="auto"/>
        <w:tblLook w:val="04A0" w:firstRow="1" w:lastRow="0" w:firstColumn="1" w:lastColumn="0" w:noHBand="0" w:noVBand="1"/>
      </w:tblPr>
      <w:tblGrid>
        <w:gridCol w:w="5889"/>
        <w:gridCol w:w="1401"/>
        <w:gridCol w:w="1772"/>
      </w:tblGrid>
      <w:tr w:rsidR="0033702E" w:rsidRPr="00D8217B" w14:paraId="1A7D73ED" w14:textId="77777777" w:rsidTr="00C5643C">
        <w:trPr>
          <w:trHeight w:val="288"/>
        </w:trPr>
        <w:tc>
          <w:tcPr>
            <w:tcW w:w="9062" w:type="dxa"/>
            <w:gridSpan w:val="3"/>
            <w:noWrap/>
            <w:hideMark/>
          </w:tcPr>
          <w:p w14:paraId="18233A3A" w14:textId="77777777" w:rsidR="0033702E" w:rsidRPr="00A95CE2" w:rsidRDefault="0033702E" w:rsidP="00C5643C">
            <w:pPr>
              <w:jc w:val="both"/>
              <w:rPr>
                <w:rFonts w:ascii="Tahoma" w:eastAsia="Times New Roman" w:hAnsi="Tahoma" w:cs="Tahoma"/>
                <w:b/>
                <w:bCs/>
              </w:rPr>
            </w:pPr>
            <w:r w:rsidRPr="00A95CE2">
              <w:rPr>
                <w:rFonts w:ascii="Tahoma" w:eastAsia="Times New Roman" w:hAnsi="Tahoma" w:cs="Tahoma"/>
                <w:b/>
                <w:bCs/>
              </w:rPr>
              <w:lastRenderedPageBreak/>
              <w:t>3. Izračun kreditne sposobnosti v primeru para s povprečnima plačama ter dvema otrokoma</w:t>
            </w:r>
          </w:p>
        </w:tc>
      </w:tr>
      <w:tr w:rsidR="0033702E" w:rsidRPr="00D8217B" w14:paraId="0AF6F915" w14:textId="77777777" w:rsidTr="00C5643C">
        <w:trPr>
          <w:trHeight w:val="288"/>
        </w:trPr>
        <w:tc>
          <w:tcPr>
            <w:tcW w:w="5889" w:type="dxa"/>
            <w:noWrap/>
            <w:hideMark/>
          </w:tcPr>
          <w:p w14:paraId="59D50F0E" w14:textId="77777777" w:rsidR="0033702E" w:rsidRPr="00D8217B" w:rsidRDefault="0033702E" w:rsidP="00C5643C">
            <w:pPr>
              <w:jc w:val="both"/>
              <w:rPr>
                <w:rFonts w:ascii="Tahoma" w:eastAsia="Times New Roman" w:hAnsi="Tahoma" w:cs="Tahoma"/>
              </w:rPr>
            </w:pPr>
          </w:p>
        </w:tc>
        <w:tc>
          <w:tcPr>
            <w:tcW w:w="1401" w:type="dxa"/>
            <w:noWrap/>
            <w:hideMark/>
          </w:tcPr>
          <w:p w14:paraId="5DAF829F"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 xml:space="preserve">Posameznik 1 </w:t>
            </w:r>
          </w:p>
        </w:tc>
        <w:tc>
          <w:tcPr>
            <w:tcW w:w="1772" w:type="dxa"/>
            <w:noWrap/>
            <w:hideMark/>
          </w:tcPr>
          <w:p w14:paraId="3132F53D"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Posameznik 2</w:t>
            </w:r>
          </w:p>
        </w:tc>
      </w:tr>
      <w:tr w:rsidR="0033702E" w:rsidRPr="00D8217B" w14:paraId="48F1078C" w14:textId="77777777" w:rsidTr="00C5643C">
        <w:trPr>
          <w:trHeight w:val="288"/>
        </w:trPr>
        <w:tc>
          <w:tcPr>
            <w:tcW w:w="5889" w:type="dxa"/>
            <w:noWrap/>
            <w:hideMark/>
          </w:tcPr>
          <w:p w14:paraId="3FBE5EE4"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 xml:space="preserve">Povprečna neto plača </w:t>
            </w:r>
          </w:p>
        </w:tc>
        <w:tc>
          <w:tcPr>
            <w:tcW w:w="1401" w:type="dxa"/>
            <w:noWrap/>
            <w:hideMark/>
          </w:tcPr>
          <w:p w14:paraId="054B1684"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1.210,46 €</w:t>
            </w:r>
          </w:p>
        </w:tc>
        <w:tc>
          <w:tcPr>
            <w:tcW w:w="1772" w:type="dxa"/>
            <w:noWrap/>
            <w:hideMark/>
          </w:tcPr>
          <w:p w14:paraId="2CAB7695"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1.210,46 €</w:t>
            </w:r>
          </w:p>
        </w:tc>
      </w:tr>
      <w:tr w:rsidR="0033702E" w:rsidRPr="00D8217B" w14:paraId="5CDE3978" w14:textId="77777777" w:rsidTr="00C5643C">
        <w:trPr>
          <w:trHeight w:val="288"/>
        </w:trPr>
        <w:tc>
          <w:tcPr>
            <w:tcW w:w="5889" w:type="dxa"/>
            <w:noWrap/>
            <w:hideMark/>
          </w:tcPr>
          <w:p w14:paraId="61BB6265"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Strošek vzdrževanih članov – 2 otroka</w:t>
            </w:r>
            <w:r>
              <w:rPr>
                <w:rFonts w:ascii="Tahoma" w:eastAsia="Times New Roman" w:hAnsi="Tahoma" w:cs="Tahoma"/>
              </w:rPr>
              <w:t xml:space="preserve"> (dvig iz 237,29 na 248,92)</w:t>
            </w:r>
          </w:p>
        </w:tc>
        <w:tc>
          <w:tcPr>
            <w:tcW w:w="1401" w:type="dxa"/>
            <w:noWrap/>
            <w:hideMark/>
          </w:tcPr>
          <w:p w14:paraId="6CBAA30B" w14:textId="77777777" w:rsidR="0033702E" w:rsidRPr="00D8217B" w:rsidRDefault="0033702E" w:rsidP="00C5643C">
            <w:pPr>
              <w:jc w:val="both"/>
              <w:rPr>
                <w:rFonts w:ascii="Tahoma" w:eastAsia="Times New Roman" w:hAnsi="Tahoma" w:cs="Tahoma"/>
              </w:rPr>
            </w:pPr>
            <w:r>
              <w:rPr>
                <w:rFonts w:ascii="Tahoma" w:eastAsia="Times New Roman" w:hAnsi="Tahoma" w:cs="Tahoma"/>
              </w:rPr>
              <w:t>248,92</w:t>
            </w:r>
          </w:p>
        </w:tc>
        <w:tc>
          <w:tcPr>
            <w:tcW w:w="1772" w:type="dxa"/>
            <w:noWrap/>
            <w:hideMark/>
          </w:tcPr>
          <w:p w14:paraId="4F0DBB7B" w14:textId="77777777" w:rsidR="0033702E" w:rsidRPr="00D8217B" w:rsidRDefault="0033702E" w:rsidP="00C5643C">
            <w:pPr>
              <w:jc w:val="both"/>
              <w:rPr>
                <w:rFonts w:ascii="Tahoma" w:eastAsia="Times New Roman" w:hAnsi="Tahoma" w:cs="Tahoma"/>
              </w:rPr>
            </w:pPr>
            <w:r>
              <w:rPr>
                <w:rFonts w:ascii="Tahoma" w:eastAsia="Times New Roman" w:hAnsi="Tahoma" w:cs="Tahoma"/>
              </w:rPr>
              <w:t>248,92</w:t>
            </w:r>
          </w:p>
        </w:tc>
      </w:tr>
      <w:tr w:rsidR="0033702E" w:rsidRPr="00D8217B" w14:paraId="4A2C6CB1" w14:textId="77777777" w:rsidTr="00C5643C">
        <w:trPr>
          <w:trHeight w:val="288"/>
        </w:trPr>
        <w:tc>
          <w:tcPr>
            <w:tcW w:w="5889" w:type="dxa"/>
            <w:noWrap/>
            <w:hideMark/>
          </w:tcPr>
          <w:p w14:paraId="544F9DFD"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Obstoječe obveznosti iz naslova kreditov in leasingov</w:t>
            </w:r>
          </w:p>
        </w:tc>
        <w:tc>
          <w:tcPr>
            <w:tcW w:w="1401" w:type="dxa"/>
            <w:noWrap/>
            <w:hideMark/>
          </w:tcPr>
          <w:p w14:paraId="0D6CD43F"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0,00 €</w:t>
            </w:r>
          </w:p>
        </w:tc>
        <w:tc>
          <w:tcPr>
            <w:tcW w:w="1772" w:type="dxa"/>
            <w:noWrap/>
            <w:hideMark/>
          </w:tcPr>
          <w:p w14:paraId="2317267E"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0,00 €</w:t>
            </w:r>
          </w:p>
        </w:tc>
      </w:tr>
      <w:tr w:rsidR="0033702E" w:rsidRPr="00D8217B" w14:paraId="55AA1697" w14:textId="77777777" w:rsidTr="00C5643C">
        <w:trPr>
          <w:trHeight w:val="288"/>
        </w:trPr>
        <w:tc>
          <w:tcPr>
            <w:tcW w:w="5889" w:type="dxa"/>
            <w:noWrap/>
            <w:hideMark/>
          </w:tcPr>
          <w:p w14:paraId="25528FA1"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76% minimalne bruto plače</w:t>
            </w:r>
          </w:p>
        </w:tc>
        <w:tc>
          <w:tcPr>
            <w:tcW w:w="1401" w:type="dxa"/>
            <w:noWrap/>
            <w:hideMark/>
          </w:tcPr>
          <w:p w14:paraId="6B5CD858"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816,57 €</w:t>
            </w:r>
          </w:p>
        </w:tc>
        <w:tc>
          <w:tcPr>
            <w:tcW w:w="1772" w:type="dxa"/>
            <w:noWrap/>
            <w:hideMark/>
          </w:tcPr>
          <w:p w14:paraId="63E4A566"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816,57 €</w:t>
            </w:r>
          </w:p>
        </w:tc>
      </w:tr>
      <w:tr w:rsidR="0033702E" w:rsidRPr="00D8217B" w14:paraId="53F0D8E2" w14:textId="77777777" w:rsidTr="00C5643C">
        <w:trPr>
          <w:trHeight w:val="288"/>
        </w:trPr>
        <w:tc>
          <w:tcPr>
            <w:tcW w:w="5889" w:type="dxa"/>
            <w:noWrap/>
            <w:hideMark/>
          </w:tcPr>
          <w:p w14:paraId="79318534"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Maks. anuiteta po BS</w:t>
            </w:r>
          </w:p>
        </w:tc>
        <w:tc>
          <w:tcPr>
            <w:tcW w:w="1401" w:type="dxa"/>
            <w:noWrap/>
            <w:hideMark/>
          </w:tcPr>
          <w:p w14:paraId="7BD020BC"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156,61 €</w:t>
            </w:r>
          </w:p>
        </w:tc>
        <w:tc>
          <w:tcPr>
            <w:tcW w:w="1772" w:type="dxa"/>
            <w:noWrap/>
            <w:hideMark/>
          </w:tcPr>
          <w:p w14:paraId="7A84CE72"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156,61 €</w:t>
            </w:r>
          </w:p>
        </w:tc>
      </w:tr>
      <w:tr w:rsidR="0033702E" w:rsidRPr="00D8217B" w14:paraId="4C12A922" w14:textId="77777777" w:rsidTr="00C5643C">
        <w:trPr>
          <w:trHeight w:val="288"/>
        </w:trPr>
        <w:tc>
          <w:tcPr>
            <w:tcW w:w="9062" w:type="dxa"/>
            <w:gridSpan w:val="3"/>
            <w:noWrap/>
            <w:hideMark/>
          </w:tcPr>
          <w:p w14:paraId="59BD3E7A" w14:textId="77777777" w:rsidR="0033702E" w:rsidRPr="00D8217B" w:rsidRDefault="0033702E" w:rsidP="00C5643C">
            <w:pPr>
              <w:jc w:val="both"/>
              <w:rPr>
                <w:rFonts w:ascii="Tahoma" w:eastAsia="Times New Roman" w:hAnsi="Tahoma" w:cs="Tahoma"/>
                <w:b/>
                <w:bCs/>
              </w:rPr>
            </w:pPr>
            <w:r w:rsidRPr="00D8217B">
              <w:rPr>
                <w:rFonts w:ascii="Tahoma" w:eastAsia="Times New Roman" w:hAnsi="Tahoma" w:cs="Tahoma"/>
                <w:b/>
                <w:bCs/>
              </w:rPr>
              <w:t xml:space="preserve">Trenutna skupna maksimalna kreditna sposobnost na 15 let </w:t>
            </w:r>
          </w:p>
        </w:tc>
      </w:tr>
      <w:tr w:rsidR="0033702E" w:rsidRPr="00D8217B" w14:paraId="16959F0B" w14:textId="77777777" w:rsidTr="00C5643C">
        <w:trPr>
          <w:trHeight w:val="288"/>
        </w:trPr>
        <w:tc>
          <w:tcPr>
            <w:tcW w:w="5889" w:type="dxa"/>
            <w:noWrap/>
            <w:hideMark/>
          </w:tcPr>
          <w:p w14:paraId="02EF5CE4"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Max. skupni kredit  - fiksna obrestna mera</w:t>
            </w:r>
          </w:p>
        </w:tc>
        <w:tc>
          <w:tcPr>
            <w:tcW w:w="3173" w:type="dxa"/>
            <w:gridSpan w:val="2"/>
            <w:noWrap/>
            <w:hideMark/>
          </w:tcPr>
          <w:p w14:paraId="33CB3AA5"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49.733,84 €</w:t>
            </w:r>
          </w:p>
        </w:tc>
      </w:tr>
      <w:tr w:rsidR="0033702E" w:rsidRPr="00D8217B" w14:paraId="4A1282B1" w14:textId="77777777" w:rsidTr="00C5643C">
        <w:trPr>
          <w:trHeight w:val="288"/>
        </w:trPr>
        <w:tc>
          <w:tcPr>
            <w:tcW w:w="5889" w:type="dxa"/>
            <w:noWrap/>
            <w:hideMark/>
          </w:tcPr>
          <w:p w14:paraId="05031DF9"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Max. skupni kredit - variabilna obrestna mera</w:t>
            </w:r>
          </w:p>
        </w:tc>
        <w:tc>
          <w:tcPr>
            <w:tcW w:w="3173" w:type="dxa"/>
            <w:gridSpan w:val="2"/>
            <w:noWrap/>
            <w:hideMark/>
          </w:tcPr>
          <w:p w14:paraId="63A19D0A"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50.495,08 €</w:t>
            </w:r>
          </w:p>
        </w:tc>
      </w:tr>
      <w:tr w:rsidR="0033702E" w:rsidRPr="00D8217B" w14:paraId="04BF2328" w14:textId="77777777" w:rsidTr="00C5643C">
        <w:trPr>
          <w:trHeight w:val="288"/>
        </w:trPr>
        <w:tc>
          <w:tcPr>
            <w:tcW w:w="5889" w:type="dxa"/>
            <w:noWrap/>
            <w:hideMark/>
          </w:tcPr>
          <w:p w14:paraId="432C9605"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76% minimalne bruto plače</w:t>
            </w:r>
          </w:p>
        </w:tc>
        <w:tc>
          <w:tcPr>
            <w:tcW w:w="1401" w:type="dxa"/>
            <w:noWrap/>
            <w:hideMark/>
          </w:tcPr>
          <w:p w14:paraId="20840FDD"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816,57 €</w:t>
            </w:r>
          </w:p>
        </w:tc>
        <w:tc>
          <w:tcPr>
            <w:tcW w:w="1772" w:type="dxa"/>
            <w:noWrap/>
            <w:hideMark/>
          </w:tcPr>
          <w:p w14:paraId="05616728"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816,57 €</w:t>
            </w:r>
          </w:p>
        </w:tc>
      </w:tr>
      <w:tr w:rsidR="0033702E" w:rsidRPr="00D8217B" w14:paraId="55CBC796" w14:textId="77777777" w:rsidTr="00C5643C">
        <w:trPr>
          <w:trHeight w:val="288"/>
        </w:trPr>
        <w:tc>
          <w:tcPr>
            <w:tcW w:w="5889" w:type="dxa"/>
            <w:noWrap/>
            <w:hideMark/>
          </w:tcPr>
          <w:p w14:paraId="33B45CCB"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Maks. anuiteta po BS</w:t>
            </w:r>
          </w:p>
        </w:tc>
        <w:tc>
          <w:tcPr>
            <w:tcW w:w="1401" w:type="dxa"/>
            <w:noWrap/>
            <w:hideMark/>
          </w:tcPr>
          <w:p w14:paraId="2958B87B"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144,97 €</w:t>
            </w:r>
          </w:p>
        </w:tc>
        <w:tc>
          <w:tcPr>
            <w:tcW w:w="1772" w:type="dxa"/>
            <w:noWrap/>
            <w:hideMark/>
          </w:tcPr>
          <w:p w14:paraId="4BAA0D44"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144,97 €</w:t>
            </w:r>
          </w:p>
        </w:tc>
      </w:tr>
      <w:tr w:rsidR="0033702E" w:rsidRPr="00D8217B" w14:paraId="00BE0A1C" w14:textId="77777777" w:rsidTr="00C5643C">
        <w:trPr>
          <w:trHeight w:val="288"/>
        </w:trPr>
        <w:tc>
          <w:tcPr>
            <w:tcW w:w="9062" w:type="dxa"/>
            <w:gridSpan w:val="3"/>
            <w:noWrap/>
            <w:hideMark/>
          </w:tcPr>
          <w:p w14:paraId="05B4B630" w14:textId="77777777" w:rsidR="0033702E" w:rsidRPr="00D8217B" w:rsidRDefault="0033702E" w:rsidP="00C5643C">
            <w:pPr>
              <w:jc w:val="both"/>
              <w:rPr>
                <w:rFonts w:ascii="Tahoma" w:eastAsia="Times New Roman" w:hAnsi="Tahoma" w:cs="Tahoma"/>
                <w:b/>
                <w:bCs/>
              </w:rPr>
            </w:pPr>
            <w:r w:rsidRPr="00D8217B">
              <w:rPr>
                <w:rFonts w:ascii="Tahoma" w:eastAsia="Times New Roman" w:hAnsi="Tahoma" w:cs="Tahoma"/>
                <w:b/>
                <w:bCs/>
              </w:rPr>
              <w:t>Maksimalna skupna kreditna sposobnost na 15 let po dvigu stroška za vzdrževane člane</w:t>
            </w:r>
          </w:p>
        </w:tc>
      </w:tr>
      <w:tr w:rsidR="0033702E" w:rsidRPr="00D8217B" w14:paraId="67A63923" w14:textId="77777777" w:rsidTr="00C5643C">
        <w:trPr>
          <w:trHeight w:val="288"/>
        </w:trPr>
        <w:tc>
          <w:tcPr>
            <w:tcW w:w="5889" w:type="dxa"/>
            <w:noWrap/>
            <w:hideMark/>
          </w:tcPr>
          <w:p w14:paraId="15969044"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Max. skupni kredit  - fiksna obrestna mera</w:t>
            </w:r>
          </w:p>
        </w:tc>
        <w:tc>
          <w:tcPr>
            <w:tcW w:w="3173" w:type="dxa"/>
            <w:gridSpan w:val="2"/>
            <w:noWrap/>
            <w:hideMark/>
          </w:tcPr>
          <w:p w14:paraId="4C294E1B"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46.039,32 €</w:t>
            </w:r>
          </w:p>
        </w:tc>
      </w:tr>
      <w:tr w:rsidR="0033702E" w:rsidRPr="00D8217B" w14:paraId="4738622E" w14:textId="77777777" w:rsidTr="00C5643C">
        <w:trPr>
          <w:trHeight w:val="288"/>
        </w:trPr>
        <w:tc>
          <w:tcPr>
            <w:tcW w:w="5889" w:type="dxa"/>
            <w:noWrap/>
            <w:hideMark/>
          </w:tcPr>
          <w:p w14:paraId="6EEAD545"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Max. skupni kredit - variabilna obrestna mera</w:t>
            </w:r>
          </w:p>
        </w:tc>
        <w:tc>
          <w:tcPr>
            <w:tcW w:w="3173" w:type="dxa"/>
            <w:gridSpan w:val="2"/>
            <w:noWrap/>
            <w:hideMark/>
          </w:tcPr>
          <w:p w14:paraId="4204A4F0"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rPr>
              <w:t>46.744,01 €</w:t>
            </w:r>
          </w:p>
        </w:tc>
      </w:tr>
      <w:tr w:rsidR="0033702E" w:rsidRPr="00D8217B" w14:paraId="64A5C508" w14:textId="77777777" w:rsidTr="00C5643C">
        <w:trPr>
          <w:trHeight w:val="288"/>
        </w:trPr>
        <w:tc>
          <w:tcPr>
            <w:tcW w:w="5889" w:type="dxa"/>
            <w:noWrap/>
            <w:hideMark/>
          </w:tcPr>
          <w:p w14:paraId="591B5421" w14:textId="7022E76D" w:rsidR="0033702E" w:rsidRPr="00D8217B" w:rsidRDefault="0033702E" w:rsidP="00C5643C">
            <w:pPr>
              <w:jc w:val="both"/>
              <w:rPr>
                <w:rFonts w:ascii="Tahoma" w:eastAsia="Times New Roman" w:hAnsi="Tahoma" w:cs="Tahoma"/>
                <w:highlight w:val="yellow"/>
              </w:rPr>
            </w:pPr>
            <w:r w:rsidRPr="00D8217B">
              <w:rPr>
                <w:rFonts w:ascii="Tahoma" w:eastAsia="Times New Roman" w:hAnsi="Tahoma" w:cs="Tahoma"/>
                <w:highlight w:val="yellow"/>
              </w:rPr>
              <w:t>Skupna kreditna sposobnost se</w:t>
            </w:r>
            <w:r>
              <w:rPr>
                <w:rFonts w:ascii="Tahoma" w:eastAsia="Times New Roman" w:hAnsi="Tahoma" w:cs="Tahoma"/>
                <w:highlight w:val="yellow"/>
              </w:rPr>
              <w:t xml:space="preserve"> po 1. aprilu</w:t>
            </w:r>
            <w:r w:rsidRPr="00D8217B">
              <w:rPr>
                <w:rFonts w:ascii="Tahoma" w:eastAsia="Times New Roman" w:hAnsi="Tahoma" w:cs="Tahoma"/>
                <w:highlight w:val="yellow"/>
              </w:rPr>
              <w:t xml:space="preserve"> poslabša pri fiksni om</w:t>
            </w:r>
          </w:p>
        </w:tc>
        <w:tc>
          <w:tcPr>
            <w:tcW w:w="3173" w:type="dxa"/>
            <w:gridSpan w:val="2"/>
            <w:noWrap/>
            <w:hideMark/>
          </w:tcPr>
          <w:p w14:paraId="08775287" w14:textId="77777777" w:rsidR="0033702E" w:rsidRPr="00D8217B" w:rsidRDefault="0033702E" w:rsidP="00C5643C">
            <w:pPr>
              <w:jc w:val="both"/>
              <w:rPr>
                <w:rFonts w:ascii="Tahoma" w:eastAsia="Times New Roman" w:hAnsi="Tahoma" w:cs="Tahoma"/>
                <w:highlight w:val="yellow"/>
              </w:rPr>
            </w:pPr>
            <w:r w:rsidRPr="00D8217B">
              <w:rPr>
                <w:rFonts w:ascii="Tahoma" w:eastAsia="Times New Roman" w:hAnsi="Tahoma" w:cs="Tahoma"/>
                <w:highlight w:val="yellow"/>
              </w:rPr>
              <w:t>3.694,52 €</w:t>
            </w:r>
          </w:p>
        </w:tc>
      </w:tr>
      <w:tr w:rsidR="0033702E" w:rsidRPr="00D8217B" w14:paraId="3DF9100F" w14:textId="77777777" w:rsidTr="00C5643C">
        <w:trPr>
          <w:trHeight w:val="288"/>
        </w:trPr>
        <w:tc>
          <w:tcPr>
            <w:tcW w:w="5889" w:type="dxa"/>
            <w:noWrap/>
            <w:hideMark/>
          </w:tcPr>
          <w:p w14:paraId="4684A264" w14:textId="47FB9E50" w:rsidR="0033702E" w:rsidRPr="00D8217B" w:rsidRDefault="0033702E" w:rsidP="00C5643C">
            <w:pPr>
              <w:jc w:val="both"/>
              <w:rPr>
                <w:rFonts w:ascii="Tahoma" w:eastAsia="Times New Roman" w:hAnsi="Tahoma" w:cs="Tahoma"/>
                <w:highlight w:val="yellow"/>
              </w:rPr>
            </w:pPr>
            <w:r w:rsidRPr="00D8217B">
              <w:rPr>
                <w:rFonts w:ascii="Tahoma" w:eastAsia="Times New Roman" w:hAnsi="Tahoma" w:cs="Tahoma"/>
                <w:highlight w:val="yellow"/>
              </w:rPr>
              <w:t>Skupna kreditna sposobnost se</w:t>
            </w:r>
            <w:r>
              <w:rPr>
                <w:rFonts w:ascii="Tahoma" w:eastAsia="Times New Roman" w:hAnsi="Tahoma" w:cs="Tahoma"/>
                <w:highlight w:val="yellow"/>
              </w:rPr>
              <w:t xml:space="preserve"> po 1. aprilu</w:t>
            </w:r>
            <w:r w:rsidRPr="00D8217B">
              <w:rPr>
                <w:rFonts w:ascii="Tahoma" w:eastAsia="Times New Roman" w:hAnsi="Tahoma" w:cs="Tahoma"/>
                <w:highlight w:val="yellow"/>
              </w:rPr>
              <w:t xml:space="preserve"> poslabša pri variabilni om</w:t>
            </w:r>
          </w:p>
        </w:tc>
        <w:tc>
          <w:tcPr>
            <w:tcW w:w="3173" w:type="dxa"/>
            <w:gridSpan w:val="2"/>
            <w:noWrap/>
            <w:hideMark/>
          </w:tcPr>
          <w:p w14:paraId="6956B20A" w14:textId="77777777" w:rsidR="0033702E" w:rsidRPr="00D8217B" w:rsidRDefault="0033702E" w:rsidP="00C5643C">
            <w:pPr>
              <w:jc w:val="both"/>
              <w:rPr>
                <w:rFonts w:ascii="Tahoma" w:eastAsia="Times New Roman" w:hAnsi="Tahoma" w:cs="Tahoma"/>
              </w:rPr>
            </w:pPr>
            <w:r w:rsidRPr="00D8217B">
              <w:rPr>
                <w:rFonts w:ascii="Tahoma" w:eastAsia="Times New Roman" w:hAnsi="Tahoma" w:cs="Tahoma"/>
                <w:highlight w:val="yellow"/>
              </w:rPr>
              <w:t>3.751,07 €</w:t>
            </w:r>
          </w:p>
        </w:tc>
      </w:tr>
    </w:tbl>
    <w:p w14:paraId="149B82B8" w14:textId="77777777" w:rsidR="0033702E" w:rsidRDefault="0033702E" w:rsidP="0033702E">
      <w:pPr>
        <w:jc w:val="both"/>
        <w:rPr>
          <w:rFonts w:ascii="Arial" w:hAnsi="Arial" w:cs="Arial"/>
          <w:i/>
          <w:sz w:val="18"/>
          <w:szCs w:val="18"/>
        </w:rPr>
      </w:pPr>
      <w:r>
        <w:rPr>
          <w:rFonts w:ascii="Arial" w:hAnsi="Arial" w:cs="Arial"/>
          <w:i/>
          <w:sz w:val="18"/>
          <w:szCs w:val="18"/>
        </w:rPr>
        <w:t>P</w:t>
      </w:r>
      <w:r w:rsidRPr="00C226E8">
        <w:rPr>
          <w:rFonts w:ascii="Arial" w:hAnsi="Arial" w:cs="Arial"/>
          <w:i/>
          <w:sz w:val="18"/>
          <w:szCs w:val="18"/>
        </w:rPr>
        <w:t xml:space="preserve">ri izračunu anuitet sta upoštevani povprečna </w:t>
      </w:r>
      <w:r>
        <w:rPr>
          <w:rFonts w:ascii="Arial" w:hAnsi="Arial" w:cs="Arial"/>
          <w:i/>
          <w:sz w:val="18"/>
          <w:szCs w:val="18"/>
        </w:rPr>
        <w:t xml:space="preserve">realizirana </w:t>
      </w:r>
      <w:r w:rsidRPr="00C226E8">
        <w:rPr>
          <w:rFonts w:ascii="Arial" w:hAnsi="Arial" w:cs="Arial"/>
          <w:i/>
          <w:sz w:val="18"/>
          <w:szCs w:val="18"/>
        </w:rPr>
        <w:t xml:space="preserve">fiksna in povprečna </w:t>
      </w:r>
      <w:r>
        <w:rPr>
          <w:rFonts w:ascii="Arial" w:hAnsi="Arial" w:cs="Arial"/>
          <w:i/>
          <w:sz w:val="18"/>
          <w:szCs w:val="18"/>
        </w:rPr>
        <w:t xml:space="preserve">realizirana </w:t>
      </w:r>
      <w:r w:rsidRPr="00C226E8">
        <w:rPr>
          <w:rFonts w:ascii="Arial" w:hAnsi="Arial" w:cs="Arial"/>
          <w:i/>
          <w:sz w:val="18"/>
          <w:szCs w:val="18"/>
        </w:rPr>
        <w:t xml:space="preserve">variabilna obrestna za </w:t>
      </w:r>
      <w:r>
        <w:rPr>
          <w:rFonts w:ascii="Arial" w:hAnsi="Arial" w:cs="Arial"/>
          <w:i/>
          <w:sz w:val="18"/>
          <w:szCs w:val="18"/>
        </w:rPr>
        <w:t xml:space="preserve">januar 2022 objavljeni v Biltenu BS (fiksna OM 1,70% in variabilna obrestna mera 6-mesečni </w:t>
      </w:r>
      <w:proofErr w:type="spellStart"/>
      <w:r>
        <w:rPr>
          <w:rFonts w:ascii="Arial" w:hAnsi="Arial" w:cs="Arial"/>
          <w:i/>
          <w:sz w:val="18"/>
          <w:szCs w:val="18"/>
        </w:rPr>
        <w:t>Euribor</w:t>
      </w:r>
      <w:proofErr w:type="spellEnd"/>
      <w:r>
        <w:rPr>
          <w:rFonts w:ascii="Arial" w:hAnsi="Arial" w:cs="Arial"/>
          <w:i/>
          <w:sz w:val="18"/>
          <w:szCs w:val="18"/>
        </w:rPr>
        <w:t xml:space="preserve"> in pribitek 1,49%, v primeru negativne vrednosti referenčne obrestne mere smo upoštevali, da znaša referenčna vrednost 0,00%).</w:t>
      </w:r>
    </w:p>
    <w:p w14:paraId="2CF29886" w14:textId="77777777" w:rsidR="0033702E" w:rsidRDefault="0033702E" w:rsidP="0033702E">
      <w:pPr>
        <w:jc w:val="both"/>
        <w:rPr>
          <w:rFonts w:ascii="Arial" w:hAnsi="Arial" w:cs="Arial"/>
          <w:i/>
          <w:sz w:val="18"/>
          <w:szCs w:val="18"/>
        </w:rPr>
      </w:pPr>
    </w:p>
    <w:p w14:paraId="71D211B0" w14:textId="77777777" w:rsidR="0033702E" w:rsidRDefault="0033702E" w:rsidP="0033702E">
      <w:pPr>
        <w:tabs>
          <w:tab w:val="left" w:pos="708"/>
        </w:tabs>
        <w:autoSpaceDN w:val="0"/>
        <w:jc w:val="both"/>
        <w:rPr>
          <w:rFonts w:ascii="Tahoma" w:hAnsi="Tahoma" w:cs="Tahoma"/>
        </w:rPr>
      </w:pPr>
      <w:r>
        <w:rPr>
          <w:rFonts w:ascii="Tahoma" w:hAnsi="Tahoma" w:cs="Tahoma"/>
        </w:rPr>
        <w:t>Iz zgornjega izračuna je razvidno, da se kreditna sposobnost para z dvema otrokoma dodatno poslabša za slabih 3.700 EUR v primeru kredita s fiksno obrestno mero oz. za 3.800 EUR v primeru kredita z variabilno obrestno mero.</w:t>
      </w:r>
    </w:p>
    <w:p w14:paraId="29560D77" w14:textId="29816B08" w:rsidR="00EB40B6" w:rsidRDefault="00EB40B6" w:rsidP="007F11EF">
      <w:pPr>
        <w:tabs>
          <w:tab w:val="left" w:pos="708"/>
        </w:tabs>
        <w:autoSpaceDN w:val="0"/>
        <w:jc w:val="both"/>
        <w:rPr>
          <w:rFonts w:ascii="Tahoma" w:hAnsi="Tahoma" w:cs="Tahoma"/>
        </w:rPr>
      </w:pPr>
    </w:p>
    <w:p w14:paraId="64F3C7DA" w14:textId="0FB5BE30" w:rsidR="008C2FB3" w:rsidRPr="00153DB4" w:rsidRDefault="008C2FB3" w:rsidP="007F11EF">
      <w:pPr>
        <w:tabs>
          <w:tab w:val="left" w:pos="708"/>
        </w:tabs>
        <w:autoSpaceDN w:val="0"/>
        <w:jc w:val="both"/>
        <w:rPr>
          <w:rFonts w:ascii="Tahoma" w:hAnsi="Tahoma" w:cs="Tahoma"/>
        </w:rPr>
      </w:pPr>
      <w:r w:rsidRPr="00153DB4">
        <w:rPr>
          <w:rFonts w:ascii="Tahoma" w:hAnsi="Tahoma" w:cs="Tahoma"/>
        </w:rPr>
        <w:t>Po podatkih Banke Slovenije (Poročilo o finančni stabilnosti, oktober 2021) je</w:t>
      </w:r>
      <w:r w:rsidR="00B255E2" w:rsidRPr="00153DB4">
        <w:rPr>
          <w:rFonts w:ascii="Tahoma" w:hAnsi="Tahoma" w:cs="Tahoma"/>
        </w:rPr>
        <w:t xml:space="preserve"> </w:t>
      </w:r>
      <w:r w:rsidRPr="00153DB4">
        <w:rPr>
          <w:rFonts w:ascii="Tahoma" w:hAnsi="Tahoma" w:cs="Tahoma"/>
        </w:rPr>
        <w:t>delež</w:t>
      </w:r>
      <w:r w:rsidR="00B255E2" w:rsidRPr="00153DB4">
        <w:rPr>
          <w:rFonts w:ascii="Tahoma" w:hAnsi="Tahoma" w:cs="Tahoma"/>
        </w:rPr>
        <w:t xml:space="preserve"> novo odobrenih</w:t>
      </w:r>
      <w:r w:rsidRPr="00153DB4">
        <w:rPr>
          <w:rFonts w:ascii="Tahoma" w:hAnsi="Tahoma" w:cs="Tahoma"/>
        </w:rPr>
        <w:t xml:space="preserve"> posojil s fiksno obrestno mero v prvem polletju leta 2021 predstavljal 77% potrošniških in 71% stanovanjskih posojil. </w:t>
      </w:r>
    </w:p>
    <w:p w14:paraId="463F4E0D" w14:textId="6BF900B1" w:rsidR="008C2FB3" w:rsidRPr="00153DB4" w:rsidRDefault="008C2FB3" w:rsidP="007F11EF">
      <w:pPr>
        <w:tabs>
          <w:tab w:val="left" w:pos="708"/>
        </w:tabs>
        <w:autoSpaceDN w:val="0"/>
        <w:jc w:val="both"/>
        <w:rPr>
          <w:rFonts w:ascii="Tahoma" w:hAnsi="Tahoma" w:cs="Tahoma"/>
        </w:rPr>
      </w:pPr>
    </w:p>
    <w:p w14:paraId="7573C98B" w14:textId="77777777" w:rsidR="00391860" w:rsidRDefault="00391860" w:rsidP="008C2FB3">
      <w:pPr>
        <w:tabs>
          <w:tab w:val="left" w:pos="708"/>
        </w:tabs>
        <w:autoSpaceDN w:val="0"/>
        <w:jc w:val="both"/>
        <w:rPr>
          <w:rFonts w:ascii="Tahoma" w:hAnsi="Tahoma" w:cs="Tahoma"/>
          <w:b/>
          <w:bCs/>
        </w:rPr>
      </w:pPr>
    </w:p>
    <w:p w14:paraId="23071E81" w14:textId="77777777" w:rsidR="00391860" w:rsidRDefault="00391860" w:rsidP="008C2FB3">
      <w:pPr>
        <w:tabs>
          <w:tab w:val="left" w:pos="708"/>
        </w:tabs>
        <w:autoSpaceDN w:val="0"/>
        <w:jc w:val="both"/>
        <w:rPr>
          <w:rFonts w:ascii="Tahoma" w:hAnsi="Tahoma" w:cs="Tahoma"/>
          <w:b/>
          <w:bCs/>
        </w:rPr>
      </w:pPr>
    </w:p>
    <w:p w14:paraId="5E91A445" w14:textId="77777777" w:rsidR="00391860" w:rsidRDefault="00391860" w:rsidP="008C2FB3">
      <w:pPr>
        <w:tabs>
          <w:tab w:val="left" w:pos="708"/>
        </w:tabs>
        <w:autoSpaceDN w:val="0"/>
        <w:jc w:val="both"/>
        <w:rPr>
          <w:rFonts w:ascii="Tahoma" w:hAnsi="Tahoma" w:cs="Tahoma"/>
          <w:b/>
          <w:bCs/>
        </w:rPr>
      </w:pPr>
    </w:p>
    <w:p w14:paraId="09A4E1DE" w14:textId="77777777" w:rsidR="00391860" w:rsidRDefault="00391860" w:rsidP="008C2FB3">
      <w:pPr>
        <w:tabs>
          <w:tab w:val="left" w:pos="708"/>
        </w:tabs>
        <w:autoSpaceDN w:val="0"/>
        <w:jc w:val="both"/>
        <w:rPr>
          <w:rFonts w:ascii="Tahoma" w:hAnsi="Tahoma" w:cs="Tahoma"/>
          <w:b/>
          <w:bCs/>
        </w:rPr>
      </w:pPr>
    </w:p>
    <w:p w14:paraId="775A72FC" w14:textId="77777777" w:rsidR="00391860" w:rsidRDefault="00391860" w:rsidP="008C2FB3">
      <w:pPr>
        <w:tabs>
          <w:tab w:val="left" w:pos="708"/>
        </w:tabs>
        <w:autoSpaceDN w:val="0"/>
        <w:jc w:val="both"/>
        <w:rPr>
          <w:rFonts w:ascii="Tahoma" w:hAnsi="Tahoma" w:cs="Tahoma"/>
          <w:b/>
          <w:bCs/>
        </w:rPr>
      </w:pPr>
    </w:p>
    <w:p w14:paraId="10BCA4DC" w14:textId="098FF1D5" w:rsidR="00391860" w:rsidRDefault="00391860" w:rsidP="008C2FB3">
      <w:pPr>
        <w:tabs>
          <w:tab w:val="left" w:pos="708"/>
        </w:tabs>
        <w:autoSpaceDN w:val="0"/>
        <w:jc w:val="both"/>
        <w:rPr>
          <w:rFonts w:ascii="Tahoma" w:hAnsi="Tahoma" w:cs="Tahoma"/>
          <w:b/>
          <w:bCs/>
        </w:rPr>
      </w:pPr>
    </w:p>
    <w:p w14:paraId="723D2329" w14:textId="77777777" w:rsidR="00491562" w:rsidRDefault="00491562" w:rsidP="008C2FB3">
      <w:pPr>
        <w:tabs>
          <w:tab w:val="left" w:pos="708"/>
        </w:tabs>
        <w:autoSpaceDN w:val="0"/>
        <w:jc w:val="both"/>
        <w:rPr>
          <w:rFonts w:ascii="Tahoma" w:hAnsi="Tahoma" w:cs="Tahoma"/>
          <w:b/>
          <w:bCs/>
        </w:rPr>
      </w:pPr>
    </w:p>
    <w:p w14:paraId="0A28BC7E" w14:textId="77777777" w:rsidR="00391860" w:rsidRDefault="00391860" w:rsidP="008C2FB3">
      <w:pPr>
        <w:tabs>
          <w:tab w:val="left" w:pos="708"/>
        </w:tabs>
        <w:autoSpaceDN w:val="0"/>
        <w:jc w:val="both"/>
        <w:rPr>
          <w:rFonts w:ascii="Tahoma" w:hAnsi="Tahoma" w:cs="Tahoma"/>
          <w:b/>
          <w:bCs/>
        </w:rPr>
      </w:pPr>
    </w:p>
    <w:p w14:paraId="78A5ACB3" w14:textId="77777777" w:rsidR="00391860" w:rsidRDefault="00391860" w:rsidP="008C2FB3">
      <w:pPr>
        <w:tabs>
          <w:tab w:val="left" w:pos="708"/>
        </w:tabs>
        <w:autoSpaceDN w:val="0"/>
        <w:jc w:val="both"/>
        <w:rPr>
          <w:rFonts w:ascii="Tahoma" w:hAnsi="Tahoma" w:cs="Tahoma"/>
          <w:b/>
          <w:bCs/>
        </w:rPr>
      </w:pPr>
    </w:p>
    <w:p w14:paraId="402BB964" w14:textId="77777777" w:rsidR="00391860" w:rsidRDefault="00391860" w:rsidP="008C2FB3">
      <w:pPr>
        <w:tabs>
          <w:tab w:val="left" w:pos="708"/>
        </w:tabs>
        <w:autoSpaceDN w:val="0"/>
        <w:jc w:val="both"/>
        <w:rPr>
          <w:rFonts w:ascii="Tahoma" w:hAnsi="Tahoma" w:cs="Tahoma"/>
          <w:b/>
          <w:bCs/>
        </w:rPr>
      </w:pPr>
    </w:p>
    <w:p w14:paraId="45537403" w14:textId="77777777" w:rsidR="00391860" w:rsidRDefault="00391860" w:rsidP="008C2FB3">
      <w:pPr>
        <w:tabs>
          <w:tab w:val="left" w:pos="708"/>
        </w:tabs>
        <w:autoSpaceDN w:val="0"/>
        <w:jc w:val="both"/>
        <w:rPr>
          <w:rFonts w:ascii="Tahoma" w:hAnsi="Tahoma" w:cs="Tahoma"/>
          <w:b/>
          <w:bCs/>
        </w:rPr>
      </w:pPr>
    </w:p>
    <w:p w14:paraId="7DC51FA8" w14:textId="77777777" w:rsidR="00391860" w:rsidRDefault="00391860" w:rsidP="008C2FB3">
      <w:pPr>
        <w:tabs>
          <w:tab w:val="left" w:pos="708"/>
        </w:tabs>
        <w:autoSpaceDN w:val="0"/>
        <w:jc w:val="both"/>
        <w:rPr>
          <w:rFonts w:ascii="Tahoma" w:hAnsi="Tahoma" w:cs="Tahoma"/>
          <w:b/>
          <w:bCs/>
        </w:rPr>
      </w:pPr>
    </w:p>
    <w:p w14:paraId="4A9C654F" w14:textId="2D96659E" w:rsidR="008C2FB3" w:rsidRPr="00153DB4" w:rsidRDefault="008C2FB3" w:rsidP="008C2FB3">
      <w:pPr>
        <w:tabs>
          <w:tab w:val="left" w:pos="708"/>
        </w:tabs>
        <w:autoSpaceDN w:val="0"/>
        <w:jc w:val="both"/>
        <w:rPr>
          <w:rFonts w:ascii="Tahoma" w:hAnsi="Tahoma" w:cs="Tahoma"/>
          <w:b/>
          <w:bCs/>
        </w:rPr>
      </w:pPr>
      <w:r w:rsidRPr="00153DB4">
        <w:rPr>
          <w:rFonts w:ascii="Tahoma" w:hAnsi="Tahoma" w:cs="Tahoma"/>
          <w:b/>
          <w:bCs/>
        </w:rPr>
        <w:lastRenderedPageBreak/>
        <w:t xml:space="preserve">Graf: Delež posojil, obrestovanih s fiksno obrestno mero, za posamezne vrste </w:t>
      </w:r>
      <w:proofErr w:type="spellStart"/>
      <w:r w:rsidRPr="00153DB4">
        <w:rPr>
          <w:rFonts w:ascii="Tahoma" w:hAnsi="Tahoma" w:cs="Tahoma"/>
          <w:b/>
          <w:bCs/>
        </w:rPr>
        <w:t>novoodobrenih</w:t>
      </w:r>
      <w:proofErr w:type="spellEnd"/>
      <w:r w:rsidRPr="00153DB4">
        <w:rPr>
          <w:rFonts w:ascii="Tahoma" w:hAnsi="Tahoma" w:cs="Tahoma"/>
          <w:b/>
          <w:bCs/>
        </w:rPr>
        <w:t xml:space="preserve"> posojil</w:t>
      </w:r>
    </w:p>
    <w:p w14:paraId="77258735" w14:textId="2B9874CF" w:rsidR="008C2FB3" w:rsidRPr="00153DB4" w:rsidRDefault="008C2FB3" w:rsidP="007F11EF">
      <w:pPr>
        <w:tabs>
          <w:tab w:val="left" w:pos="708"/>
        </w:tabs>
        <w:autoSpaceDN w:val="0"/>
        <w:jc w:val="both"/>
        <w:rPr>
          <w:rFonts w:ascii="Tahoma" w:hAnsi="Tahoma" w:cs="Tahoma"/>
        </w:rPr>
      </w:pPr>
      <w:r w:rsidRPr="00153DB4">
        <w:rPr>
          <w:rFonts w:ascii="Tahoma" w:hAnsi="Tahoma" w:cs="Tahoma"/>
          <w:noProof/>
        </w:rPr>
        <w:drawing>
          <wp:inline distT="0" distB="0" distL="0" distR="0" wp14:anchorId="1457FC60" wp14:editId="164EE6CD">
            <wp:extent cx="5600700" cy="3515431"/>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670" cy="3521689"/>
                    </a:xfrm>
                    <a:prstGeom prst="rect">
                      <a:avLst/>
                    </a:prstGeom>
                    <a:noFill/>
                    <a:ln>
                      <a:noFill/>
                    </a:ln>
                  </pic:spPr>
                </pic:pic>
              </a:graphicData>
            </a:graphic>
          </wp:inline>
        </w:drawing>
      </w:r>
    </w:p>
    <w:p w14:paraId="1923ECA3" w14:textId="7FE459E4" w:rsidR="0033702E" w:rsidRPr="00153DB4" w:rsidRDefault="008C2FB3" w:rsidP="007F11EF">
      <w:pPr>
        <w:tabs>
          <w:tab w:val="left" w:pos="708"/>
        </w:tabs>
        <w:autoSpaceDN w:val="0"/>
        <w:jc w:val="both"/>
        <w:rPr>
          <w:rFonts w:ascii="Tahoma" w:hAnsi="Tahoma" w:cs="Tahoma"/>
          <w:sz w:val="20"/>
          <w:szCs w:val="20"/>
        </w:rPr>
      </w:pPr>
      <w:r w:rsidRPr="00153DB4">
        <w:rPr>
          <w:rFonts w:ascii="Tahoma" w:hAnsi="Tahoma" w:cs="Tahoma"/>
          <w:sz w:val="20"/>
          <w:szCs w:val="20"/>
        </w:rPr>
        <w:t xml:space="preserve">Vir: Banka Slovenije, dostopno na </w:t>
      </w:r>
      <w:r w:rsidR="00B255E2" w:rsidRPr="00153DB4">
        <w:rPr>
          <w:rFonts w:ascii="Tahoma" w:hAnsi="Tahoma" w:cs="Tahoma"/>
          <w:sz w:val="20"/>
          <w:szCs w:val="20"/>
        </w:rPr>
        <w:t>file://ntsrv/RedirectedFolders/matejal/Desktop/fsr_oktober_2021%20(1).pdf</w:t>
      </w:r>
    </w:p>
    <w:p w14:paraId="39AE9F47" w14:textId="03EC6595" w:rsidR="008C2FB3" w:rsidRPr="00153DB4" w:rsidRDefault="008C2FB3" w:rsidP="007F11EF">
      <w:pPr>
        <w:tabs>
          <w:tab w:val="left" w:pos="708"/>
        </w:tabs>
        <w:autoSpaceDN w:val="0"/>
        <w:jc w:val="both"/>
        <w:rPr>
          <w:rFonts w:ascii="Tahoma" w:hAnsi="Tahoma" w:cs="Tahoma"/>
        </w:rPr>
      </w:pPr>
    </w:p>
    <w:p w14:paraId="003367E1" w14:textId="77777777" w:rsidR="00B255E2" w:rsidRPr="00153DB4" w:rsidRDefault="00B255E2" w:rsidP="007F11EF">
      <w:pPr>
        <w:tabs>
          <w:tab w:val="left" w:pos="708"/>
        </w:tabs>
        <w:autoSpaceDN w:val="0"/>
        <w:jc w:val="both"/>
        <w:rPr>
          <w:rFonts w:ascii="Tahoma" w:hAnsi="Tahoma" w:cs="Tahoma"/>
        </w:rPr>
      </w:pPr>
    </w:p>
    <w:p w14:paraId="4AD25B8C" w14:textId="5C2CD143" w:rsidR="00CC1ACA" w:rsidRPr="00153DB4" w:rsidRDefault="00CC1ACA" w:rsidP="007F11EF">
      <w:pPr>
        <w:tabs>
          <w:tab w:val="left" w:pos="708"/>
        </w:tabs>
        <w:autoSpaceDN w:val="0"/>
        <w:jc w:val="both"/>
        <w:rPr>
          <w:rFonts w:ascii="Tahoma" w:hAnsi="Tahoma" w:cs="Tahoma"/>
        </w:rPr>
      </w:pPr>
      <w:r w:rsidRPr="00153DB4">
        <w:rPr>
          <w:rFonts w:ascii="Tahoma" w:hAnsi="Tahoma" w:cs="Tahoma"/>
        </w:rPr>
        <w:t xml:space="preserve">Obseg slabih kreditov prebivalstvu v Sloveniji je zelo nizek, med najnižjimi v Evropi. Iz spodnjega grafa, kjer so zbrani podatki za zadnje četrtletje leta 2018 je razvidno, da je Slovenija imela drugi najnižji delež slabih kreditov prebivalstvu v regiji srednje in vzhodne Evrope. </w:t>
      </w:r>
    </w:p>
    <w:p w14:paraId="0ED327AA" w14:textId="3424478A" w:rsidR="00CC1ACA" w:rsidRPr="00153DB4" w:rsidRDefault="00CC1ACA" w:rsidP="007F11EF">
      <w:pPr>
        <w:pStyle w:val="PlainText"/>
        <w:rPr>
          <w:rFonts w:ascii="Tahoma" w:hAnsi="Tahoma" w:cs="Tahoma"/>
        </w:rPr>
      </w:pPr>
      <w:r w:rsidRPr="00153DB4">
        <w:rPr>
          <w:rFonts w:ascii="Tahoma" w:hAnsi="Tahoma" w:cs="Tahoma"/>
          <w:noProof/>
        </w:rPr>
        <w:lastRenderedPageBreak/>
        <w:drawing>
          <wp:inline distT="0" distB="0" distL="0" distR="0" wp14:anchorId="54A5FD66" wp14:editId="0790695D">
            <wp:extent cx="5760720" cy="512635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126355"/>
                    </a:xfrm>
                    <a:prstGeom prst="rect">
                      <a:avLst/>
                    </a:prstGeom>
                  </pic:spPr>
                </pic:pic>
              </a:graphicData>
            </a:graphic>
          </wp:inline>
        </w:drawing>
      </w:r>
    </w:p>
    <w:p w14:paraId="6ED937FF" w14:textId="07E277C9" w:rsidR="00CC1ACA" w:rsidRPr="00153DB4" w:rsidRDefault="00CC1ACA" w:rsidP="007F11EF">
      <w:pPr>
        <w:pStyle w:val="PlainText"/>
        <w:rPr>
          <w:rFonts w:ascii="Tahoma" w:hAnsi="Tahoma" w:cs="Tahoma"/>
          <w:sz w:val="16"/>
          <w:szCs w:val="16"/>
        </w:rPr>
      </w:pPr>
      <w:r w:rsidRPr="00153DB4">
        <w:rPr>
          <w:rFonts w:ascii="Tahoma" w:hAnsi="Tahoma" w:cs="Tahoma"/>
          <w:sz w:val="16"/>
          <w:szCs w:val="16"/>
        </w:rPr>
        <w:t xml:space="preserve">Vir: </w:t>
      </w:r>
      <w:proofErr w:type="spellStart"/>
      <w:r w:rsidRPr="00153DB4">
        <w:rPr>
          <w:rFonts w:ascii="Tahoma" w:hAnsi="Tahoma" w:cs="Tahoma"/>
          <w:sz w:val="16"/>
          <w:szCs w:val="16"/>
        </w:rPr>
        <w:t>Statistia</w:t>
      </w:r>
      <w:proofErr w:type="spellEnd"/>
      <w:r w:rsidR="00BB61B5" w:rsidRPr="00153DB4">
        <w:rPr>
          <w:rFonts w:ascii="Tahoma" w:hAnsi="Tahoma" w:cs="Tahoma"/>
          <w:sz w:val="16"/>
          <w:szCs w:val="16"/>
        </w:rPr>
        <w:t xml:space="preserve">: Ratio </w:t>
      </w:r>
      <w:proofErr w:type="spellStart"/>
      <w:r w:rsidR="00BB61B5" w:rsidRPr="00153DB4">
        <w:rPr>
          <w:rFonts w:ascii="Tahoma" w:hAnsi="Tahoma" w:cs="Tahoma"/>
          <w:sz w:val="16"/>
          <w:szCs w:val="16"/>
        </w:rPr>
        <w:t>of</w:t>
      </w:r>
      <w:proofErr w:type="spellEnd"/>
      <w:r w:rsidR="00BB61B5" w:rsidRPr="00153DB4">
        <w:rPr>
          <w:rFonts w:ascii="Tahoma" w:hAnsi="Tahoma" w:cs="Tahoma"/>
          <w:sz w:val="16"/>
          <w:szCs w:val="16"/>
        </w:rPr>
        <w:t xml:space="preserve"> non-</w:t>
      </w:r>
      <w:proofErr w:type="spellStart"/>
      <w:r w:rsidR="00BB61B5" w:rsidRPr="00153DB4">
        <w:rPr>
          <w:rFonts w:ascii="Tahoma" w:hAnsi="Tahoma" w:cs="Tahoma"/>
          <w:sz w:val="16"/>
          <w:szCs w:val="16"/>
        </w:rPr>
        <w:t>performing</w:t>
      </w:r>
      <w:proofErr w:type="spellEnd"/>
      <w:r w:rsidR="00BB61B5" w:rsidRPr="00153DB4">
        <w:rPr>
          <w:rFonts w:ascii="Tahoma" w:hAnsi="Tahoma" w:cs="Tahoma"/>
          <w:sz w:val="16"/>
          <w:szCs w:val="16"/>
        </w:rPr>
        <w:t xml:space="preserve"> </w:t>
      </w:r>
      <w:proofErr w:type="spellStart"/>
      <w:r w:rsidR="00BB61B5" w:rsidRPr="00153DB4">
        <w:rPr>
          <w:rFonts w:ascii="Tahoma" w:hAnsi="Tahoma" w:cs="Tahoma"/>
          <w:sz w:val="16"/>
          <w:szCs w:val="16"/>
        </w:rPr>
        <w:t>retail</w:t>
      </w:r>
      <w:proofErr w:type="spellEnd"/>
      <w:r w:rsidR="00BB61B5" w:rsidRPr="00153DB4">
        <w:rPr>
          <w:rFonts w:ascii="Tahoma" w:hAnsi="Tahoma" w:cs="Tahoma"/>
          <w:sz w:val="16"/>
          <w:szCs w:val="16"/>
        </w:rPr>
        <w:t xml:space="preserve"> </w:t>
      </w:r>
      <w:proofErr w:type="spellStart"/>
      <w:r w:rsidR="00BB61B5" w:rsidRPr="00153DB4">
        <w:rPr>
          <w:rFonts w:ascii="Tahoma" w:hAnsi="Tahoma" w:cs="Tahoma"/>
          <w:sz w:val="16"/>
          <w:szCs w:val="16"/>
        </w:rPr>
        <w:t>loans</w:t>
      </w:r>
      <w:proofErr w:type="spellEnd"/>
      <w:r w:rsidR="00BB61B5" w:rsidRPr="00153DB4">
        <w:rPr>
          <w:rFonts w:ascii="Tahoma" w:hAnsi="Tahoma" w:cs="Tahoma"/>
          <w:sz w:val="16"/>
          <w:szCs w:val="16"/>
        </w:rPr>
        <w:t xml:space="preserve"> (</w:t>
      </w:r>
      <w:proofErr w:type="spellStart"/>
      <w:r w:rsidR="00BB61B5" w:rsidRPr="00153DB4">
        <w:rPr>
          <w:rFonts w:ascii="Tahoma" w:hAnsi="Tahoma" w:cs="Tahoma"/>
          <w:sz w:val="16"/>
          <w:szCs w:val="16"/>
        </w:rPr>
        <w:t>NPLs</w:t>
      </w:r>
      <w:proofErr w:type="spellEnd"/>
      <w:r w:rsidR="00BB61B5" w:rsidRPr="00153DB4">
        <w:rPr>
          <w:rFonts w:ascii="Tahoma" w:hAnsi="Tahoma" w:cs="Tahoma"/>
          <w:sz w:val="16"/>
          <w:szCs w:val="16"/>
        </w:rPr>
        <w:t xml:space="preserve">) in Central and </w:t>
      </w:r>
      <w:proofErr w:type="spellStart"/>
      <w:r w:rsidR="00BB61B5" w:rsidRPr="00153DB4">
        <w:rPr>
          <w:rFonts w:ascii="Tahoma" w:hAnsi="Tahoma" w:cs="Tahoma"/>
          <w:sz w:val="16"/>
          <w:szCs w:val="16"/>
        </w:rPr>
        <w:t>Eastern</w:t>
      </w:r>
      <w:proofErr w:type="spellEnd"/>
      <w:r w:rsidR="00BB61B5" w:rsidRPr="00153DB4">
        <w:rPr>
          <w:rFonts w:ascii="Tahoma" w:hAnsi="Tahoma" w:cs="Tahoma"/>
          <w:sz w:val="16"/>
          <w:szCs w:val="16"/>
        </w:rPr>
        <w:t xml:space="preserve"> </w:t>
      </w:r>
      <w:proofErr w:type="spellStart"/>
      <w:r w:rsidR="00BB61B5" w:rsidRPr="00153DB4">
        <w:rPr>
          <w:rFonts w:ascii="Tahoma" w:hAnsi="Tahoma" w:cs="Tahoma"/>
          <w:sz w:val="16"/>
          <w:szCs w:val="16"/>
        </w:rPr>
        <w:t>Europe</w:t>
      </w:r>
      <w:proofErr w:type="spellEnd"/>
      <w:r w:rsidR="00BB61B5" w:rsidRPr="00153DB4">
        <w:rPr>
          <w:rFonts w:ascii="Tahoma" w:hAnsi="Tahoma" w:cs="Tahoma"/>
          <w:sz w:val="16"/>
          <w:szCs w:val="16"/>
        </w:rPr>
        <w:t xml:space="preserve"> (CEE) as </w:t>
      </w:r>
      <w:proofErr w:type="spellStart"/>
      <w:r w:rsidR="00BB61B5" w:rsidRPr="00153DB4">
        <w:rPr>
          <w:rFonts w:ascii="Tahoma" w:hAnsi="Tahoma" w:cs="Tahoma"/>
          <w:sz w:val="16"/>
          <w:szCs w:val="16"/>
        </w:rPr>
        <w:t>of</w:t>
      </w:r>
      <w:proofErr w:type="spellEnd"/>
      <w:r w:rsidR="00BB61B5" w:rsidRPr="00153DB4">
        <w:rPr>
          <w:rFonts w:ascii="Tahoma" w:hAnsi="Tahoma" w:cs="Tahoma"/>
          <w:sz w:val="16"/>
          <w:szCs w:val="16"/>
        </w:rPr>
        <w:t xml:space="preserve"> </w:t>
      </w:r>
      <w:proofErr w:type="spellStart"/>
      <w:r w:rsidR="00BB61B5" w:rsidRPr="00153DB4">
        <w:rPr>
          <w:rFonts w:ascii="Tahoma" w:hAnsi="Tahoma" w:cs="Tahoma"/>
          <w:sz w:val="16"/>
          <w:szCs w:val="16"/>
        </w:rPr>
        <w:t>the</w:t>
      </w:r>
      <w:proofErr w:type="spellEnd"/>
      <w:r w:rsidR="00BB61B5" w:rsidRPr="00153DB4">
        <w:rPr>
          <w:rFonts w:ascii="Tahoma" w:hAnsi="Tahoma" w:cs="Tahoma"/>
          <w:sz w:val="16"/>
          <w:szCs w:val="16"/>
        </w:rPr>
        <w:t xml:space="preserve"> 4th </w:t>
      </w:r>
      <w:proofErr w:type="spellStart"/>
      <w:r w:rsidR="00BB61B5" w:rsidRPr="00153DB4">
        <w:rPr>
          <w:rFonts w:ascii="Tahoma" w:hAnsi="Tahoma" w:cs="Tahoma"/>
          <w:sz w:val="16"/>
          <w:szCs w:val="16"/>
        </w:rPr>
        <w:t>quarter</w:t>
      </w:r>
      <w:proofErr w:type="spellEnd"/>
      <w:r w:rsidR="00BB61B5" w:rsidRPr="00153DB4">
        <w:rPr>
          <w:rFonts w:ascii="Tahoma" w:hAnsi="Tahoma" w:cs="Tahoma"/>
          <w:sz w:val="16"/>
          <w:szCs w:val="16"/>
        </w:rPr>
        <w:t xml:space="preserve"> 2018, </w:t>
      </w:r>
      <w:proofErr w:type="spellStart"/>
      <w:r w:rsidR="00BB61B5" w:rsidRPr="00153DB4">
        <w:rPr>
          <w:rFonts w:ascii="Tahoma" w:hAnsi="Tahoma" w:cs="Tahoma"/>
          <w:sz w:val="16"/>
          <w:szCs w:val="16"/>
        </w:rPr>
        <w:t>by</w:t>
      </w:r>
      <w:proofErr w:type="spellEnd"/>
      <w:r w:rsidR="00BB61B5" w:rsidRPr="00153DB4">
        <w:rPr>
          <w:rFonts w:ascii="Tahoma" w:hAnsi="Tahoma" w:cs="Tahoma"/>
          <w:sz w:val="16"/>
          <w:szCs w:val="16"/>
        </w:rPr>
        <w:t xml:space="preserve"> </w:t>
      </w:r>
      <w:proofErr w:type="spellStart"/>
      <w:r w:rsidR="00BB61B5" w:rsidRPr="00153DB4">
        <w:rPr>
          <w:rFonts w:ascii="Tahoma" w:hAnsi="Tahoma" w:cs="Tahoma"/>
          <w:sz w:val="16"/>
          <w:szCs w:val="16"/>
        </w:rPr>
        <w:t>country</w:t>
      </w:r>
      <w:proofErr w:type="spellEnd"/>
      <w:r w:rsidR="00BB61B5" w:rsidRPr="00153DB4">
        <w:rPr>
          <w:rFonts w:ascii="Tahoma" w:hAnsi="Tahoma" w:cs="Tahoma"/>
          <w:sz w:val="16"/>
          <w:szCs w:val="16"/>
        </w:rPr>
        <w:t>, dostopno na: https://www.statista.com/statistics/895365/central-and-eastern-europe-non-performing-retail-loan-ratio/</w:t>
      </w:r>
    </w:p>
    <w:p w14:paraId="41E0B6DC" w14:textId="6878DA97" w:rsidR="00CC1ACA" w:rsidRPr="00153DB4" w:rsidRDefault="00CC1ACA" w:rsidP="007F11EF">
      <w:pPr>
        <w:pStyle w:val="PlainText"/>
        <w:rPr>
          <w:rFonts w:ascii="Tahoma" w:hAnsi="Tahoma" w:cs="Tahoma"/>
        </w:rPr>
      </w:pPr>
    </w:p>
    <w:p w14:paraId="7F66BAA1" w14:textId="6383AE62" w:rsidR="00BB61B5" w:rsidRPr="00153DB4" w:rsidRDefault="000E0EC9" w:rsidP="007F11EF">
      <w:pPr>
        <w:pStyle w:val="PlainText"/>
        <w:rPr>
          <w:rFonts w:ascii="Tahoma" w:hAnsi="Tahoma" w:cs="Tahoma"/>
        </w:rPr>
      </w:pPr>
      <w:r w:rsidRPr="00153DB4">
        <w:rPr>
          <w:rFonts w:ascii="Tahoma" w:hAnsi="Tahoma" w:cs="Tahoma"/>
        </w:rPr>
        <w:t>Po podatkih Evropskega bančnega organa (EBA) za obdobje 2015 do 2019 se je delež slabih posojil prebivalstvu v omenjenem obdobju zniževal in je</w:t>
      </w:r>
      <w:r w:rsidR="00B71967" w:rsidRPr="00153DB4">
        <w:rPr>
          <w:rFonts w:ascii="Tahoma" w:hAnsi="Tahoma" w:cs="Tahoma"/>
        </w:rPr>
        <w:t xml:space="preserve"> bil</w:t>
      </w:r>
      <w:r w:rsidRPr="00153DB4">
        <w:rPr>
          <w:rFonts w:ascii="Tahoma" w:hAnsi="Tahoma" w:cs="Tahoma"/>
        </w:rPr>
        <w:t xml:space="preserve"> na ravni EU </w:t>
      </w:r>
      <w:r w:rsidR="00B71967" w:rsidRPr="00153DB4">
        <w:rPr>
          <w:rFonts w:ascii="Tahoma" w:hAnsi="Tahoma" w:cs="Tahoma"/>
        </w:rPr>
        <w:t>(povprečje) višji kot v Sloveniji.</w:t>
      </w:r>
    </w:p>
    <w:p w14:paraId="78C84D98" w14:textId="468D8338" w:rsidR="000E0EC9" w:rsidRPr="00153DB4" w:rsidRDefault="000E0EC9" w:rsidP="007F11EF">
      <w:pPr>
        <w:pStyle w:val="PlainText"/>
        <w:rPr>
          <w:rFonts w:ascii="Tahoma" w:hAnsi="Tahoma" w:cs="Tahoma"/>
        </w:rPr>
      </w:pPr>
      <w:r w:rsidRPr="00153DB4">
        <w:rPr>
          <w:rFonts w:ascii="Tahoma" w:hAnsi="Tahoma" w:cs="Tahoma"/>
          <w:noProof/>
        </w:rPr>
        <w:lastRenderedPageBreak/>
        <w:drawing>
          <wp:inline distT="0" distB="0" distL="0" distR="0" wp14:anchorId="636F7C0E" wp14:editId="3F8A4A15">
            <wp:extent cx="5760720" cy="32156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15640"/>
                    </a:xfrm>
                    <a:prstGeom prst="rect">
                      <a:avLst/>
                    </a:prstGeom>
                  </pic:spPr>
                </pic:pic>
              </a:graphicData>
            </a:graphic>
          </wp:inline>
        </w:drawing>
      </w:r>
    </w:p>
    <w:p w14:paraId="02466709" w14:textId="2A146940" w:rsidR="000E0EC9" w:rsidRPr="00153DB4" w:rsidRDefault="000E0EC9" w:rsidP="007F11EF">
      <w:pPr>
        <w:pStyle w:val="PlainText"/>
      </w:pPr>
      <w:r w:rsidRPr="00153DB4">
        <w:rPr>
          <w:rFonts w:ascii="Tahoma" w:hAnsi="Tahoma" w:cs="Tahoma"/>
        </w:rPr>
        <w:t>Vir: EBA</w:t>
      </w:r>
      <w:r w:rsidR="008545BF" w:rsidRPr="00153DB4">
        <w:rPr>
          <w:rFonts w:ascii="Tahoma" w:hAnsi="Tahoma" w:cs="Tahoma"/>
        </w:rPr>
        <w:t xml:space="preserve"> </w:t>
      </w:r>
      <w:proofErr w:type="spellStart"/>
      <w:r w:rsidR="008545BF" w:rsidRPr="00153DB4">
        <w:t>Report</w:t>
      </w:r>
      <w:proofErr w:type="spellEnd"/>
      <w:r w:rsidR="008545BF" w:rsidRPr="00153DB4">
        <w:t xml:space="preserve"> on </w:t>
      </w:r>
      <w:proofErr w:type="spellStart"/>
      <w:r w:rsidR="008545BF" w:rsidRPr="00153DB4">
        <w:t>NPLs</w:t>
      </w:r>
      <w:proofErr w:type="spellEnd"/>
      <w:r w:rsidR="008545BF" w:rsidRPr="00153DB4">
        <w:t xml:space="preserve"> </w:t>
      </w:r>
      <w:proofErr w:type="spellStart"/>
      <w:r w:rsidR="008545BF" w:rsidRPr="00153DB4">
        <w:t>progress</w:t>
      </w:r>
      <w:proofErr w:type="spellEnd"/>
      <w:r w:rsidR="008545BF" w:rsidRPr="00153DB4">
        <w:t xml:space="preserve"> </w:t>
      </w:r>
      <w:proofErr w:type="spellStart"/>
      <w:r w:rsidR="008545BF" w:rsidRPr="00153DB4">
        <w:t>made</w:t>
      </w:r>
      <w:proofErr w:type="spellEnd"/>
      <w:r w:rsidR="008545BF" w:rsidRPr="00153DB4">
        <w:t xml:space="preserve"> and </w:t>
      </w:r>
      <w:proofErr w:type="spellStart"/>
      <w:r w:rsidR="008545BF" w:rsidRPr="00153DB4">
        <w:t>challenges</w:t>
      </w:r>
      <w:proofErr w:type="spellEnd"/>
      <w:r w:rsidR="008545BF" w:rsidRPr="00153DB4">
        <w:t xml:space="preserve"> </w:t>
      </w:r>
      <w:proofErr w:type="spellStart"/>
      <w:r w:rsidR="008545BF" w:rsidRPr="00153DB4">
        <w:t>ahead</w:t>
      </w:r>
      <w:proofErr w:type="spellEnd"/>
      <w:r w:rsidR="008545BF" w:rsidRPr="00153DB4">
        <w:t xml:space="preserve">, dostopno na: </w:t>
      </w:r>
      <w:hyperlink r:id="rId13" w:history="1">
        <w:r w:rsidR="00087A31" w:rsidRPr="00153DB4">
          <w:rPr>
            <w:rStyle w:val="Hyperlink"/>
          </w:rPr>
          <w:t>https://www.eba.europa.eu/sites/default/documents/files/document_library/Risk%20Analysis%20and%20Data/Risk%20Assessment%20Reports/2019//Final%20EBA%20Report%20on%20NPLs-for%20publication_final.pdf</w:t>
        </w:r>
      </w:hyperlink>
    </w:p>
    <w:p w14:paraId="043AAF86" w14:textId="343A467F" w:rsidR="00087A31" w:rsidRPr="00153DB4" w:rsidRDefault="00087A31" w:rsidP="007F11EF">
      <w:pPr>
        <w:pStyle w:val="PlainText"/>
      </w:pPr>
    </w:p>
    <w:p w14:paraId="71A0C5CC" w14:textId="6B8C1A32" w:rsidR="00087A31" w:rsidRPr="000319D9" w:rsidRDefault="00087A31" w:rsidP="007F11EF">
      <w:pPr>
        <w:pStyle w:val="PlainText"/>
        <w:rPr>
          <w:rFonts w:ascii="Tahoma" w:hAnsi="Tahoma" w:cs="Tahoma"/>
        </w:rPr>
      </w:pPr>
      <w:r w:rsidRPr="00153DB4">
        <w:rPr>
          <w:rFonts w:ascii="Tahoma" w:hAnsi="Tahoma" w:cs="Tahoma"/>
        </w:rPr>
        <w:t xml:space="preserve">Po podatkih Banke Slovenije (Mesečna informacija o poslovanju bank, marec 2022) delež slabih kreditov prebivalstva znaša 1,9%, pri čemer je ta delež na segmentu stanovanjskih posojil še nižji in znaša 1,5%. Iz navedenih podatkov </w:t>
      </w:r>
      <w:r w:rsidR="000319D9" w:rsidRPr="00153DB4">
        <w:rPr>
          <w:rFonts w:ascii="Tahoma" w:hAnsi="Tahoma" w:cs="Tahoma"/>
        </w:rPr>
        <w:t xml:space="preserve">je razvidno, da tako strog </w:t>
      </w:r>
      <w:proofErr w:type="spellStart"/>
      <w:r w:rsidR="000319D9" w:rsidRPr="00153DB4">
        <w:rPr>
          <w:rFonts w:ascii="Tahoma" w:hAnsi="Tahoma" w:cs="Tahoma"/>
        </w:rPr>
        <w:t>makrobonitetni</w:t>
      </w:r>
      <w:proofErr w:type="spellEnd"/>
      <w:r w:rsidR="000319D9" w:rsidRPr="00153DB4">
        <w:rPr>
          <w:rFonts w:ascii="Tahoma" w:hAnsi="Tahoma" w:cs="Tahoma"/>
        </w:rPr>
        <w:t xml:space="preserve"> ukrep</w:t>
      </w:r>
      <w:r w:rsidR="009729F0" w:rsidRPr="00153DB4">
        <w:rPr>
          <w:rFonts w:ascii="Tahoma" w:hAnsi="Tahoma" w:cs="Tahoma"/>
        </w:rPr>
        <w:t xml:space="preserve"> za preprečevanje rasti kreditiranja</w:t>
      </w:r>
      <w:r w:rsidR="000319D9" w:rsidRPr="00153DB4">
        <w:rPr>
          <w:rFonts w:ascii="Tahoma" w:hAnsi="Tahoma" w:cs="Tahoma"/>
        </w:rPr>
        <w:t xml:space="preserve"> ni ne</w:t>
      </w:r>
      <w:r w:rsidR="009729F0" w:rsidRPr="00153DB4">
        <w:rPr>
          <w:rFonts w:ascii="Tahoma" w:hAnsi="Tahoma" w:cs="Tahoma"/>
        </w:rPr>
        <w:t xml:space="preserve"> </w:t>
      </w:r>
      <w:r w:rsidR="000319D9" w:rsidRPr="00153DB4">
        <w:rPr>
          <w:rFonts w:ascii="Tahoma" w:hAnsi="Tahoma" w:cs="Tahoma"/>
        </w:rPr>
        <w:t>potreben, niti smiseln, na kar smo Banko Slovenije opozarjali že ob sprejemu sklepa in tudi večkrat kasneje, ko se je delež slabih kreditov prebivalstvu še dodatno znižal</w:t>
      </w:r>
      <w:r w:rsidR="009729F0" w:rsidRPr="00153DB4">
        <w:rPr>
          <w:rFonts w:ascii="Tahoma" w:hAnsi="Tahoma" w:cs="Tahoma"/>
        </w:rPr>
        <w:t>.</w:t>
      </w:r>
      <w:r w:rsidR="009729F0">
        <w:rPr>
          <w:rFonts w:ascii="Tahoma" w:hAnsi="Tahoma" w:cs="Tahoma"/>
        </w:rPr>
        <w:t xml:space="preserve"> </w:t>
      </w:r>
    </w:p>
    <w:p w14:paraId="1CE87E4C" w14:textId="77777777" w:rsidR="00BB61B5" w:rsidRDefault="00BB61B5" w:rsidP="007F11EF">
      <w:pPr>
        <w:pStyle w:val="PlainText"/>
        <w:rPr>
          <w:rFonts w:ascii="Tahoma" w:hAnsi="Tahoma" w:cs="Tahoma"/>
        </w:rPr>
      </w:pPr>
    </w:p>
    <w:p w14:paraId="4C618725" w14:textId="225C9B17" w:rsidR="00E10FFD" w:rsidRPr="007F11EF" w:rsidRDefault="00A24499" w:rsidP="007F11EF">
      <w:pPr>
        <w:pStyle w:val="PlainText"/>
        <w:rPr>
          <w:rFonts w:ascii="Tahoma" w:hAnsi="Tahoma" w:cs="Tahoma"/>
        </w:rPr>
      </w:pPr>
      <w:r w:rsidRPr="007F11EF">
        <w:rPr>
          <w:rFonts w:ascii="Tahoma" w:hAnsi="Tahoma" w:cs="Tahoma"/>
        </w:rPr>
        <w:t>Združenje bank Slovenije</w:t>
      </w:r>
      <w:r w:rsidRPr="007F11EF">
        <w:rPr>
          <w:rFonts w:ascii="Tahoma" w:hAnsi="Tahoma" w:cs="Tahoma"/>
        </w:rPr>
        <w:br/>
        <w:t>Ljubljana,</w:t>
      </w:r>
      <w:r w:rsidR="006770C1" w:rsidRPr="007F11EF">
        <w:rPr>
          <w:rFonts w:ascii="Tahoma" w:hAnsi="Tahoma" w:cs="Tahoma"/>
        </w:rPr>
        <w:t xml:space="preserve"> </w:t>
      </w:r>
      <w:r w:rsidR="00FA2C79">
        <w:rPr>
          <w:rFonts w:ascii="Tahoma" w:hAnsi="Tahoma" w:cs="Tahoma"/>
        </w:rPr>
        <w:t>1</w:t>
      </w:r>
      <w:r w:rsidR="0033702E">
        <w:rPr>
          <w:rFonts w:ascii="Tahoma" w:hAnsi="Tahoma" w:cs="Tahoma"/>
        </w:rPr>
        <w:t>3</w:t>
      </w:r>
      <w:r w:rsidR="00FA2C79">
        <w:rPr>
          <w:rFonts w:ascii="Tahoma" w:hAnsi="Tahoma" w:cs="Tahoma"/>
        </w:rPr>
        <w:t xml:space="preserve">. </w:t>
      </w:r>
      <w:r w:rsidR="0033702E">
        <w:rPr>
          <w:rFonts w:ascii="Tahoma" w:hAnsi="Tahoma" w:cs="Tahoma"/>
        </w:rPr>
        <w:t>april</w:t>
      </w:r>
      <w:r w:rsidR="00FA2C79">
        <w:rPr>
          <w:rFonts w:ascii="Tahoma" w:hAnsi="Tahoma" w:cs="Tahoma"/>
        </w:rPr>
        <w:t xml:space="preserve"> </w:t>
      </w:r>
      <w:r w:rsidR="00671040" w:rsidRPr="007F11EF">
        <w:rPr>
          <w:rFonts w:ascii="Tahoma" w:hAnsi="Tahoma" w:cs="Tahoma"/>
        </w:rPr>
        <w:t>202</w:t>
      </w:r>
      <w:r w:rsidR="004830B9" w:rsidRPr="007F11EF">
        <w:rPr>
          <w:rFonts w:ascii="Tahoma" w:hAnsi="Tahoma" w:cs="Tahoma"/>
        </w:rPr>
        <w:t>2</w:t>
      </w:r>
    </w:p>
    <w:sectPr w:rsidR="00E10FFD" w:rsidRPr="007F11EF" w:rsidSect="00147AC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0DD6" w14:textId="77777777" w:rsidR="006932E4" w:rsidRDefault="006932E4" w:rsidP="008A60E7">
      <w:r>
        <w:separator/>
      </w:r>
    </w:p>
  </w:endnote>
  <w:endnote w:type="continuationSeparator" w:id="0">
    <w:p w14:paraId="7A27874F" w14:textId="77777777" w:rsidR="006932E4" w:rsidRDefault="006932E4"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6932E4"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FF5F" w14:textId="77777777" w:rsidR="006932E4" w:rsidRDefault="006932E4" w:rsidP="008A60E7">
      <w:r>
        <w:separator/>
      </w:r>
    </w:p>
  </w:footnote>
  <w:footnote w:type="continuationSeparator" w:id="0">
    <w:p w14:paraId="13647CFE" w14:textId="77777777" w:rsidR="006932E4" w:rsidRDefault="006932E4" w:rsidP="008A60E7">
      <w:r>
        <w:continuationSeparator/>
      </w:r>
    </w:p>
  </w:footnote>
  <w:footnote w:id="1">
    <w:p w14:paraId="2BF31D41" w14:textId="0870D425" w:rsidR="00860D7F" w:rsidRPr="00860D7F" w:rsidRDefault="00860D7F">
      <w:pPr>
        <w:pStyle w:val="FootnoteText"/>
        <w:rPr>
          <w:lang w:val="en-US"/>
        </w:rPr>
      </w:pPr>
      <w:r>
        <w:rPr>
          <w:rStyle w:val="FootnoteReference"/>
        </w:rPr>
        <w:t>*</w:t>
      </w:r>
      <w:r>
        <w:t xml:space="preserve"> </w:t>
      </w:r>
      <w:r>
        <w:rPr>
          <w:b/>
          <w:bCs/>
          <w:color w:val="000000"/>
          <w:sz w:val="17"/>
          <w:szCs w:val="17"/>
        </w:rPr>
        <w:t xml:space="preserve">DSTI (angl. Debt service-to-income) </w:t>
      </w:r>
      <w:r>
        <w:rPr>
          <w:color w:val="000000"/>
          <w:sz w:val="17"/>
          <w:szCs w:val="17"/>
        </w:rPr>
        <w:t>je razmerje med letnim stroškom servisiranja celotnega dolga in letnim dohodkom potrošnika ob sklenitvi kreditne pogodbe.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67876"/>
    <w:multiLevelType w:val="hybridMultilevel"/>
    <w:tmpl w:val="447CC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824706051">
    <w:abstractNumId w:val="2"/>
  </w:num>
  <w:num w:numId="2" w16cid:durableId="1199050781">
    <w:abstractNumId w:val="7"/>
  </w:num>
  <w:num w:numId="3" w16cid:durableId="729773405">
    <w:abstractNumId w:val="6"/>
  </w:num>
  <w:num w:numId="4" w16cid:durableId="350843379">
    <w:abstractNumId w:val="3"/>
  </w:num>
  <w:num w:numId="5" w16cid:durableId="580257838">
    <w:abstractNumId w:val="8"/>
  </w:num>
  <w:num w:numId="6" w16cid:durableId="427235618">
    <w:abstractNumId w:val="15"/>
  </w:num>
  <w:num w:numId="7" w16cid:durableId="512377555">
    <w:abstractNumId w:val="13"/>
  </w:num>
  <w:num w:numId="8" w16cid:durableId="518470694">
    <w:abstractNumId w:val="19"/>
  </w:num>
  <w:num w:numId="9" w16cid:durableId="1019548612">
    <w:abstractNumId w:val="5"/>
  </w:num>
  <w:num w:numId="10" w16cid:durableId="2098212346">
    <w:abstractNumId w:val="20"/>
  </w:num>
  <w:num w:numId="11" w16cid:durableId="1233350235">
    <w:abstractNumId w:val="10"/>
  </w:num>
  <w:num w:numId="12" w16cid:durableId="239366944">
    <w:abstractNumId w:val="0"/>
  </w:num>
  <w:num w:numId="13" w16cid:durableId="1371807344">
    <w:abstractNumId w:val="18"/>
  </w:num>
  <w:num w:numId="14" w16cid:durableId="1759211859">
    <w:abstractNumId w:val="12"/>
  </w:num>
  <w:num w:numId="15" w16cid:durableId="1610549816">
    <w:abstractNumId w:val="9"/>
  </w:num>
  <w:num w:numId="16" w16cid:durableId="268633008">
    <w:abstractNumId w:val="17"/>
  </w:num>
  <w:num w:numId="17" w16cid:durableId="1666203635">
    <w:abstractNumId w:val="14"/>
  </w:num>
  <w:num w:numId="18" w16cid:durableId="1354265155">
    <w:abstractNumId w:val="16"/>
  </w:num>
  <w:num w:numId="19" w16cid:durableId="988172753">
    <w:abstractNumId w:val="1"/>
  </w:num>
  <w:num w:numId="20" w16cid:durableId="1286738050">
    <w:abstractNumId w:val="11"/>
  </w:num>
  <w:num w:numId="21" w16cid:durableId="20105219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319D9"/>
    <w:rsid w:val="000409A2"/>
    <w:rsid w:val="00053111"/>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11A60"/>
    <w:rsid w:val="00116C60"/>
    <w:rsid w:val="00122885"/>
    <w:rsid w:val="001233A2"/>
    <w:rsid w:val="00125F3E"/>
    <w:rsid w:val="001312C9"/>
    <w:rsid w:val="001407F3"/>
    <w:rsid w:val="00143DC0"/>
    <w:rsid w:val="00147AC9"/>
    <w:rsid w:val="00150DCB"/>
    <w:rsid w:val="00151891"/>
    <w:rsid w:val="00153DB4"/>
    <w:rsid w:val="00155E5B"/>
    <w:rsid w:val="0016329F"/>
    <w:rsid w:val="00165474"/>
    <w:rsid w:val="00170D53"/>
    <w:rsid w:val="0017185A"/>
    <w:rsid w:val="00173C93"/>
    <w:rsid w:val="00175151"/>
    <w:rsid w:val="00180D0D"/>
    <w:rsid w:val="00180D66"/>
    <w:rsid w:val="00184CCC"/>
    <w:rsid w:val="0018594C"/>
    <w:rsid w:val="00191FA1"/>
    <w:rsid w:val="001A26F6"/>
    <w:rsid w:val="001A4406"/>
    <w:rsid w:val="001A7293"/>
    <w:rsid w:val="001B1E19"/>
    <w:rsid w:val="001B43DE"/>
    <w:rsid w:val="001B4B78"/>
    <w:rsid w:val="001C5CC9"/>
    <w:rsid w:val="001C60DF"/>
    <w:rsid w:val="001D2625"/>
    <w:rsid w:val="001E0A73"/>
    <w:rsid w:val="001F34D9"/>
    <w:rsid w:val="001F3C74"/>
    <w:rsid w:val="002009E7"/>
    <w:rsid w:val="00201F72"/>
    <w:rsid w:val="00214A45"/>
    <w:rsid w:val="00220317"/>
    <w:rsid w:val="00225CFA"/>
    <w:rsid w:val="002278C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7914"/>
    <w:rsid w:val="00324382"/>
    <w:rsid w:val="00332549"/>
    <w:rsid w:val="0033702E"/>
    <w:rsid w:val="00343076"/>
    <w:rsid w:val="0034633B"/>
    <w:rsid w:val="00350E41"/>
    <w:rsid w:val="00353035"/>
    <w:rsid w:val="00355F5F"/>
    <w:rsid w:val="00357517"/>
    <w:rsid w:val="0036336F"/>
    <w:rsid w:val="00363CEE"/>
    <w:rsid w:val="00366C35"/>
    <w:rsid w:val="00371AAC"/>
    <w:rsid w:val="00381179"/>
    <w:rsid w:val="0038572F"/>
    <w:rsid w:val="00385A86"/>
    <w:rsid w:val="00391860"/>
    <w:rsid w:val="003A332E"/>
    <w:rsid w:val="003A473A"/>
    <w:rsid w:val="003C1A36"/>
    <w:rsid w:val="003D34EA"/>
    <w:rsid w:val="003F18AE"/>
    <w:rsid w:val="003F5BA8"/>
    <w:rsid w:val="003F7C8E"/>
    <w:rsid w:val="00403E84"/>
    <w:rsid w:val="004124CE"/>
    <w:rsid w:val="00417323"/>
    <w:rsid w:val="004314C3"/>
    <w:rsid w:val="00465227"/>
    <w:rsid w:val="00473D9F"/>
    <w:rsid w:val="00477854"/>
    <w:rsid w:val="00481104"/>
    <w:rsid w:val="004811CF"/>
    <w:rsid w:val="004830B9"/>
    <w:rsid w:val="00490818"/>
    <w:rsid w:val="00491562"/>
    <w:rsid w:val="00492FBB"/>
    <w:rsid w:val="004A0929"/>
    <w:rsid w:val="004B110B"/>
    <w:rsid w:val="004B1BBB"/>
    <w:rsid w:val="004B7887"/>
    <w:rsid w:val="004C51E6"/>
    <w:rsid w:val="004C51FB"/>
    <w:rsid w:val="004D2491"/>
    <w:rsid w:val="004D6619"/>
    <w:rsid w:val="004E0D85"/>
    <w:rsid w:val="005036B8"/>
    <w:rsid w:val="0050514B"/>
    <w:rsid w:val="0050689C"/>
    <w:rsid w:val="00507048"/>
    <w:rsid w:val="00510B38"/>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15CA"/>
    <w:rsid w:val="00576FBD"/>
    <w:rsid w:val="00577B67"/>
    <w:rsid w:val="00581A28"/>
    <w:rsid w:val="00582D80"/>
    <w:rsid w:val="00586728"/>
    <w:rsid w:val="005A0B06"/>
    <w:rsid w:val="005A51BA"/>
    <w:rsid w:val="005B2F6C"/>
    <w:rsid w:val="005B3FE4"/>
    <w:rsid w:val="005B7F7E"/>
    <w:rsid w:val="005C26D1"/>
    <w:rsid w:val="005D3C1E"/>
    <w:rsid w:val="005E76D1"/>
    <w:rsid w:val="00602EC5"/>
    <w:rsid w:val="00611208"/>
    <w:rsid w:val="006120B0"/>
    <w:rsid w:val="00616CF3"/>
    <w:rsid w:val="006315A9"/>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F05"/>
    <w:rsid w:val="00685AEC"/>
    <w:rsid w:val="00687FBE"/>
    <w:rsid w:val="006932E4"/>
    <w:rsid w:val="00694E85"/>
    <w:rsid w:val="006A0AFB"/>
    <w:rsid w:val="006A7552"/>
    <w:rsid w:val="006B583A"/>
    <w:rsid w:val="006B68E7"/>
    <w:rsid w:val="006C0598"/>
    <w:rsid w:val="006C7178"/>
    <w:rsid w:val="006D6444"/>
    <w:rsid w:val="006E2B26"/>
    <w:rsid w:val="006F24C9"/>
    <w:rsid w:val="00700D73"/>
    <w:rsid w:val="007238BD"/>
    <w:rsid w:val="007347ED"/>
    <w:rsid w:val="007376AB"/>
    <w:rsid w:val="00745219"/>
    <w:rsid w:val="00745CB7"/>
    <w:rsid w:val="007467DC"/>
    <w:rsid w:val="007532DC"/>
    <w:rsid w:val="00757D7E"/>
    <w:rsid w:val="0076220B"/>
    <w:rsid w:val="0077410E"/>
    <w:rsid w:val="007830A8"/>
    <w:rsid w:val="00785DB5"/>
    <w:rsid w:val="0079226A"/>
    <w:rsid w:val="00796E8D"/>
    <w:rsid w:val="007A0C33"/>
    <w:rsid w:val="007C2A07"/>
    <w:rsid w:val="007C4430"/>
    <w:rsid w:val="007C5594"/>
    <w:rsid w:val="007D0C4C"/>
    <w:rsid w:val="007D3B79"/>
    <w:rsid w:val="007D4DA3"/>
    <w:rsid w:val="007E065A"/>
    <w:rsid w:val="007F11EF"/>
    <w:rsid w:val="007F1BC0"/>
    <w:rsid w:val="007F36E8"/>
    <w:rsid w:val="00805D67"/>
    <w:rsid w:val="0081105B"/>
    <w:rsid w:val="0082007F"/>
    <w:rsid w:val="008221A1"/>
    <w:rsid w:val="008279D0"/>
    <w:rsid w:val="0083250B"/>
    <w:rsid w:val="00835240"/>
    <w:rsid w:val="00845051"/>
    <w:rsid w:val="0085241A"/>
    <w:rsid w:val="008545BF"/>
    <w:rsid w:val="00860D7F"/>
    <w:rsid w:val="0087097C"/>
    <w:rsid w:val="00871185"/>
    <w:rsid w:val="0087582A"/>
    <w:rsid w:val="008775EF"/>
    <w:rsid w:val="00880116"/>
    <w:rsid w:val="00886302"/>
    <w:rsid w:val="00892AF0"/>
    <w:rsid w:val="00896769"/>
    <w:rsid w:val="008A2882"/>
    <w:rsid w:val="008A60E7"/>
    <w:rsid w:val="008A724F"/>
    <w:rsid w:val="008B6C80"/>
    <w:rsid w:val="008C0B2F"/>
    <w:rsid w:val="008C10FE"/>
    <w:rsid w:val="008C2FB3"/>
    <w:rsid w:val="008D4E5D"/>
    <w:rsid w:val="008D7FA0"/>
    <w:rsid w:val="008E07F0"/>
    <w:rsid w:val="008E3825"/>
    <w:rsid w:val="008E5A8C"/>
    <w:rsid w:val="008F174E"/>
    <w:rsid w:val="008F33AF"/>
    <w:rsid w:val="00900C18"/>
    <w:rsid w:val="0090391D"/>
    <w:rsid w:val="0091150D"/>
    <w:rsid w:val="009122F7"/>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395B"/>
    <w:rsid w:val="00995178"/>
    <w:rsid w:val="009B5C66"/>
    <w:rsid w:val="009B7C64"/>
    <w:rsid w:val="009C1241"/>
    <w:rsid w:val="009C538B"/>
    <w:rsid w:val="009C76C0"/>
    <w:rsid w:val="009D2656"/>
    <w:rsid w:val="00A02A33"/>
    <w:rsid w:val="00A03688"/>
    <w:rsid w:val="00A106EA"/>
    <w:rsid w:val="00A16FF2"/>
    <w:rsid w:val="00A24499"/>
    <w:rsid w:val="00A27299"/>
    <w:rsid w:val="00A3274F"/>
    <w:rsid w:val="00A43612"/>
    <w:rsid w:val="00A43D2F"/>
    <w:rsid w:val="00A65E4C"/>
    <w:rsid w:val="00A67C3B"/>
    <w:rsid w:val="00A7483B"/>
    <w:rsid w:val="00A86D8D"/>
    <w:rsid w:val="00A906F3"/>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B05850"/>
    <w:rsid w:val="00B236AD"/>
    <w:rsid w:val="00B24FAE"/>
    <w:rsid w:val="00B255E2"/>
    <w:rsid w:val="00B3120D"/>
    <w:rsid w:val="00B32E3B"/>
    <w:rsid w:val="00B3513E"/>
    <w:rsid w:val="00B3619E"/>
    <w:rsid w:val="00B5176C"/>
    <w:rsid w:val="00B51A86"/>
    <w:rsid w:val="00B71967"/>
    <w:rsid w:val="00B80550"/>
    <w:rsid w:val="00B95260"/>
    <w:rsid w:val="00BA0231"/>
    <w:rsid w:val="00BA255E"/>
    <w:rsid w:val="00BA3D58"/>
    <w:rsid w:val="00BB02A8"/>
    <w:rsid w:val="00BB3858"/>
    <w:rsid w:val="00BB3C4C"/>
    <w:rsid w:val="00BB4933"/>
    <w:rsid w:val="00BB61B5"/>
    <w:rsid w:val="00BB67CA"/>
    <w:rsid w:val="00BC15E8"/>
    <w:rsid w:val="00BC242D"/>
    <w:rsid w:val="00BC29F8"/>
    <w:rsid w:val="00BD2E50"/>
    <w:rsid w:val="00BD390C"/>
    <w:rsid w:val="00BD564B"/>
    <w:rsid w:val="00BF2A68"/>
    <w:rsid w:val="00BF4E5B"/>
    <w:rsid w:val="00BF66A8"/>
    <w:rsid w:val="00C1201C"/>
    <w:rsid w:val="00C12CDF"/>
    <w:rsid w:val="00C13A7F"/>
    <w:rsid w:val="00C27384"/>
    <w:rsid w:val="00C274FC"/>
    <w:rsid w:val="00C3095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6087"/>
    <w:rsid w:val="00CC1ACA"/>
    <w:rsid w:val="00CC64DC"/>
    <w:rsid w:val="00CE0E07"/>
    <w:rsid w:val="00CE2A5E"/>
    <w:rsid w:val="00CE2F26"/>
    <w:rsid w:val="00CE748F"/>
    <w:rsid w:val="00CF1568"/>
    <w:rsid w:val="00CF4DC0"/>
    <w:rsid w:val="00D002F6"/>
    <w:rsid w:val="00D144E0"/>
    <w:rsid w:val="00D15818"/>
    <w:rsid w:val="00D17B80"/>
    <w:rsid w:val="00D41B31"/>
    <w:rsid w:val="00D55FD5"/>
    <w:rsid w:val="00D6250D"/>
    <w:rsid w:val="00D777ED"/>
    <w:rsid w:val="00D84C47"/>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DD0"/>
    <w:rsid w:val="00E40910"/>
    <w:rsid w:val="00E43F89"/>
    <w:rsid w:val="00E44006"/>
    <w:rsid w:val="00E502CE"/>
    <w:rsid w:val="00E5084E"/>
    <w:rsid w:val="00E54434"/>
    <w:rsid w:val="00E55D99"/>
    <w:rsid w:val="00E75062"/>
    <w:rsid w:val="00E81201"/>
    <w:rsid w:val="00E97D42"/>
    <w:rsid w:val="00EA16F4"/>
    <w:rsid w:val="00EA3954"/>
    <w:rsid w:val="00EB1E46"/>
    <w:rsid w:val="00EB40B6"/>
    <w:rsid w:val="00EB421A"/>
    <w:rsid w:val="00EC6183"/>
    <w:rsid w:val="00ED2927"/>
    <w:rsid w:val="00ED3F52"/>
    <w:rsid w:val="00ED42B6"/>
    <w:rsid w:val="00ED74F3"/>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6693"/>
    <w:rsid w:val="00F5585F"/>
    <w:rsid w:val="00F62067"/>
    <w:rsid w:val="00F622D0"/>
    <w:rsid w:val="00F62961"/>
    <w:rsid w:val="00F6584B"/>
    <w:rsid w:val="00F66121"/>
    <w:rsid w:val="00F6762D"/>
    <w:rsid w:val="00F728C4"/>
    <w:rsid w:val="00F739F3"/>
    <w:rsid w:val="00F84C6D"/>
    <w:rsid w:val="00FA2C79"/>
    <w:rsid w:val="00FA63BB"/>
    <w:rsid w:val="00FB0017"/>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ba.europa.eu/sites/default/documents/files/document_library/Risk%20Analysis%20and%20Data/Risk%20Assessment%20Reports/2019//Final%20EBA%20Report%20on%20NPLs-for%20publication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2465</Words>
  <Characters>14051</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5</cp:revision>
  <dcterms:created xsi:type="dcterms:W3CDTF">2022-04-13T06:17:00Z</dcterms:created>
  <dcterms:modified xsi:type="dcterms:W3CDTF">2022-04-13T06:21:00Z</dcterms:modified>
</cp:coreProperties>
</file>