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Default="004830B9" w:rsidP="00E10FFD">
      <w:pPr>
        <w:jc w:val="both"/>
        <w:rPr>
          <w:rFonts w:ascii="Tahoma" w:hAnsi="Tahoma" w:cs="Tahoma"/>
          <w:b/>
        </w:rPr>
      </w:pPr>
    </w:p>
    <w:p w14:paraId="72A8A4E7" w14:textId="44DFA43F" w:rsidR="00D144E0" w:rsidRPr="00E14E91" w:rsidRDefault="001E0A73" w:rsidP="00EE04A7">
      <w:pPr>
        <w:jc w:val="both"/>
        <w:rPr>
          <w:rFonts w:ascii="Tahoma" w:hAnsi="Tahoma" w:cs="Tahoma"/>
          <w:b/>
        </w:rPr>
      </w:pPr>
      <w:r w:rsidRPr="00E14E91">
        <w:rPr>
          <w:rFonts w:ascii="Tahoma" w:hAnsi="Tahoma" w:cs="Tahoma"/>
          <w:b/>
        </w:rPr>
        <w:t>Odgovor</w:t>
      </w:r>
      <w:r w:rsidR="00AB39D4" w:rsidRPr="00E14E91">
        <w:rPr>
          <w:rFonts w:ascii="Tahoma" w:hAnsi="Tahoma" w:cs="Tahoma"/>
          <w:b/>
        </w:rPr>
        <w:t>i</w:t>
      </w:r>
      <w:r w:rsidRPr="00E14E91">
        <w:rPr>
          <w:rFonts w:ascii="Tahoma" w:hAnsi="Tahoma" w:cs="Tahoma"/>
          <w:b/>
        </w:rPr>
        <w:t xml:space="preserve"> Združenja bank na </w:t>
      </w:r>
      <w:r w:rsidR="003A473A" w:rsidRPr="00E14E91">
        <w:rPr>
          <w:rFonts w:ascii="Tahoma" w:hAnsi="Tahoma" w:cs="Tahoma"/>
          <w:b/>
        </w:rPr>
        <w:t>novinarsk</w:t>
      </w:r>
      <w:r w:rsidR="00BB67CA" w:rsidRPr="00E14E91">
        <w:rPr>
          <w:rFonts w:ascii="Tahoma" w:hAnsi="Tahoma" w:cs="Tahoma"/>
          <w:b/>
        </w:rPr>
        <w:t>a</w:t>
      </w:r>
      <w:r w:rsidR="003A473A" w:rsidRPr="00E14E91">
        <w:rPr>
          <w:rFonts w:ascii="Tahoma" w:hAnsi="Tahoma" w:cs="Tahoma"/>
          <w:b/>
        </w:rPr>
        <w:t xml:space="preserve"> </w:t>
      </w:r>
      <w:r w:rsidRPr="00E14E91">
        <w:rPr>
          <w:rFonts w:ascii="Tahoma" w:hAnsi="Tahoma" w:cs="Tahoma"/>
          <w:b/>
        </w:rPr>
        <w:t>vprašanj</w:t>
      </w:r>
      <w:r w:rsidR="00BB67CA" w:rsidRPr="00E14E91">
        <w:rPr>
          <w:rFonts w:ascii="Tahoma" w:hAnsi="Tahoma" w:cs="Tahoma"/>
          <w:b/>
        </w:rPr>
        <w:t xml:space="preserve">a </w:t>
      </w:r>
      <w:r w:rsidR="00E0163D" w:rsidRPr="00E14E91">
        <w:rPr>
          <w:rFonts w:ascii="Tahoma" w:hAnsi="Tahoma" w:cs="Tahoma"/>
          <w:b/>
        </w:rPr>
        <w:t xml:space="preserve">glede </w:t>
      </w:r>
      <w:r w:rsidR="00E14E91" w:rsidRPr="00E14E91">
        <w:rPr>
          <w:rFonts w:ascii="Tahoma" w:hAnsi="Tahoma" w:cs="Tahoma"/>
          <w:b/>
        </w:rPr>
        <w:t xml:space="preserve">novih pravil </w:t>
      </w:r>
      <w:r w:rsidR="00BC29F8" w:rsidRPr="00E14E91">
        <w:rPr>
          <w:rFonts w:ascii="Tahoma" w:hAnsi="Tahoma" w:cs="Tahoma"/>
          <w:b/>
        </w:rPr>
        <w:t>kreditiranja prebivalstva</w:t>
      </w:r>
    </w:p>
    <w:p w14:paraId="5FCFED61" w14:textId="77777777" w:rsidR="00BB02A8" w:rsidRPr="00E14E91" w:rsidRDefault="00BB02A8" w:rsidP="00EE04A7">
      <w:pPr>
        <w:jc w:val="both"/>
        <w:rPr>
          <w:rFonts w:ascii="Tahoma" w:hAnsi="Tahoma" w:cs="Tahoma"/>
          <w:b/>
          <w:bCs/>
        </w:rPr>
      </w:pPr>
    </w:p>
    <w:p w14:paraId="7F2D8469" w14:textId="77777777" w:rsidR="004830B9" w:rsidRPr="00E14E91" w:rsidRDefault="004830B9" w:rsidP="00EE04A7">
      <w:pPr>
        <w:jc w:val="both"/>
        <w:rPr>
          <w:rFonts w:ascii="Tahoma" w:hAnsi="Tahoma" w:cs="Tahoma"/>
          <w:b/>
          <w:bCs/>
        </w:rPr>
      </w:pPr>
    </w:p>
    <w:p w14:paraId="1BE88638" w14:textId="435DB788" w:rsidR="006770C1" w:rsidRPr="00E14E91" w:rsidRDefault="003A473A" w:rsidP="00EE04A7">
      <w:pPr>
        <w:jc w:val="both"/>
        <w:rPr>
          <w:rFonts w:ascii="Tahoma" w:hAnsi="Tahoma" w:cs="Tahoma"/>
        </w:rPr>
      </w:pPr>
      <w:r w:rsidRPr="00E14E91">
        <w:rPr>
          <w:rFonts w:ascii="Tahoma" w:hAnsi="Tahoma" w:cs="Tahoma"/>
          <w:b/>
          <w:bCs/>
        </w:rPr>
        <w:t>Vprašanj</w:t>
      </w:r>
      <w:r w:rsidR="00AD3E5F" w:rsidRPr="00E14E91">
        <w:rPr>
          <w:rFonts w:ascii="Tahoma" w:hAnsi="Tahoma" w:cs="Tahoma"/>
          <w:b/>
          <w:bCs/>
        </w:rPr>
        <w:t>a</w:t>
      </w:r>
      <w:r w:rsidRPr="00E14E91">
        <w:rPr>
          <w:rFonts w:ascii="Tahoma" w:hAnsi="Tahoma" w:cs="Tahoma"/>
        </w:rPr>
        <w:t xml:space="preserve">: </w:t>
      </w:r>
    </w:p>
    <w:p w14:paraId="7D56BF62" w14:textId="77777777" w:rsidR="004B530B" w:rsidRPr="00E14E91" w:rsidRDefault="004B530B" w:rsidP="00EE04A7">
      <w:pPr>
        <w:jc w:val="both"/>
        <w:rPr>
          <w:rFonts w:ascii="Tahoma" w:hAnsi="Tahoma" w:cs="Tahoma"/>
        </w:rPr>
      </w:pPr>
    </w:p>
    <w:p w14:paraId="0ACBCD57" w14:textId="4C709CAC" w:rsidR="00F23BB3" w:rsidRPr="00E14E91" w:rsidRDefault="00F23BB3" w:rsidP="00EE04A7">
      <w:pPr>
        <w:pStyle w:val="ydp8696ca17msonormal"/>
        <w:spacing w:after="0" w:afterAutospacing="0"/>
        <w:jc w:val="both"/>
        <w:rPr>
          <w:rFonts w:ascii="Tahoma" w:hAnsi="Tahoma" w:cs="Tahoma"/>
          <w:b/>
          <w:bCs/>
        </w:rPr>
      </w:pPr>
      <w:r w:rsidRPr="00E14E91">
        <w:rPr>
          <w:rFonts w:ascii="Tahoma" w:hAnsi="Tahoma" w:cs="Tahoma"/>
        </w:rPr>
        <w:t>Kako ocenjujete zadnji ukrep sproščanja posojilodajalskih omejitev Banke Slovenije, s katerim daje bankam pri desetini poslov bolj proste roke pri presoji, komu bodo dodelile posojilo?  Kakšna je v praksi uporabnost takega ukrepa, kako deluje oziroma zakaj ne? Kakšen ukrep bi si glede tega sami želeli od BS?</w:t>
      </w:r>
      <w:r w:rsidRPr="00E14E91">
        <w:rPr>
          <w:rFonts w:ascii="Tahoma" w:hAnsi="Tahoma" w:cs="Tahoma"/>
          <w:b/>
          <w:bCs/>
        </w:rPr>
        <w:t xml:space="preserve"> </w:t>
      </w:r>
    </w:p>
    <w:p w14:paraId="2BEDF19C" w14:textId="77777777" w:rsidR="00F23BB3" w:rsidRPr="00E14E91" w:rsidRDefault="00F23BB3" w:rsidP="00EE04A7">
      <w:pPr>
        <w:pStyle w:val="ydp8696ca17msonormal"/>
        <w:spacing w:after="0" w:afterAutospacing="0"/>
        <w:jc w:val="both"/>
        <w:rPr>
          <w:rFonts w:ascii="Tahoma" w:hAnsi="Tahoma" w:cs="Tahoma"/>
          <w:b/>
          <w:bCs/>
        </w:rPr>
      </w:pPr>
    </w:p>
    <w:p w14:paraId="2AD25EA7" w14:textId="47914AC3" w:rsidR="00D002F6" w:rsidRPr="00E14E91" w:rsidRDefault="00D002F6" w:rsidP="00EE04A7">
      <w:pPr>
        <w:pStyle w:val="ydp8696ca17msonormal"/>
        <w:spacing w:after="0" w:afterAutospacing="0"/>
        <w:jc w:val="both"/>
        <w:rPr>
          <w:rFonts w:ascii="Tahoma" w:hAnsi="Tahoma" w:cs="Tahoma"/>
          <w:b/>
          <w:bCs/>
        </w:rPr>
      </w:pPr>
      <w:r w:rsidRPr="00E14E91">
        <w:rPr>
          <w:rFonts w:ascii="Tahoma" w:hAnsi="Tahoma" w:cs="Tahoma"/>
          <w:b/>
          <w:bCs/>
        </w:rPr>
        <w:t xml:space="preserve">Odgovor ZBS: </w:t>
      </w:r>
    </w:p>
    <w:p w14:paraId="5FCF3287" w14:textId="1BE2CE13" w:rsidR="00D002F6" w:rsidRPr="00E14E91" w:rsidRDefault="00D002F6" w:rsidP="00EE04A7">
      <w:pPr>
        <w:jc w:val="both"/>
        <w:rPr>
          <w:rFonts w:ascii="Tahoma" w:eastAsia="Times New Roman" w:hAnsi="Tahoma" w:cs="Tahoma"/>
        </w:rPr>
      </w:pPr>
    </w:p>
    <w:p w14:paraId="6DC5EE53" w14:textId="7EF7FD9D" w:rsidR="00D036D8" w:rsidRPr="00E14E91" w:rsidRDefault="00F43463" w:rsidP="00D036D8">
      <w:pPr>
        <w:jc w:val="both"/>
        <w:rPr>
          <w:rFonts w:ascii="Tahoma" w:hAnsi="Tahoma" w:cs="Tahoma"/>
        </w:rPr>
      </w:pPr>
      <w:r w:rsidRPr="00E14E91">
        <w:rPr>
          <w:rFonts w:ascii="Tahoma" w:hAnsi="Tahoma" w:cs="Tahoma"/>
        </w:rPr>
        <w:t>E</w:t>
      </w:r>
      <w:r w:rsidR="00E97936" w:rsidRPr="00E14E91">
        <w:rPr>
          <w:rFonts w:ascii="Tahoma" w:hAnsi="Tahoma" w:cs="Tahoma"/>
        </w:rPr>
        <w:t>nostavnejša struktura ukrepov, ki bi omogočala enotno obravnavo komitentov, bi bila po našem mnenju primernejša.</w:t>
      </w:r>
      <w:r w:rsidR="006B63AF" w:rsidRPr="00E14E91">
        <w:rPr>
          <w:rFonts w:ascii="Tahoma" w:hAnsi="Tahoma" w:cs="Tahoma"/>
        </w:rPr>
        <w:t xml:space="preserve"> </w:t>
      </w:r>
      <w:r w:rsidR="00D036D8" w:rsidRPr="00E14E91">
        <w:rPr>
          <w:rFonts w:ascii="Tahoma" w:hAnsi="Tahoma" w:cs="Tahoma"/>
        </w:rPr>
        <w:t>Prav tako je besedilo Sklepa o makrobonitetnih omejitvah kreditiranja potrošnikov v nekaterih členih zapisano zelo nejasno, zato bomo v prihodnjih dneh na Banko Slovenije poslali tehnična vprašanja glede izvajanja posameznih določb.</w:t>
      </w:r>
    </w:p>
    <w:p w14:paraId="6097E51B" w14:textId="5D54EB26" w:rsidR="00E97936" w:rsidRPr="00E14E91" w:rsidRDefault="00E97936" w:rsidP="00FD204D">
      <w:pPr>
        <w:jc w:val="both"/>
        <w:rPr>
          <w:rFonts w:ascii="Tahoma" w:hAnsi="Tahoma" w:cs="Tahoma"/>
        </w:rPr>
      </w:pPr>
    </w:p>
    <w:p w14:paraId="3504B3F2" w14:textId="4F4529AE" w:rsidR="00BC1460" w:rsidRPr="00E14E91" w:rsidRDefault="00BC1460" w:rsidP="00BC1460">
      <w:pPr>
        <w:jc w:val="both"/>
        <w:rPr>
          <w:rFonts w:ascii="Tahoma" w:hAnsi="Tahoma" w:cs="Tahoma"/>
        </w:rPr>
      </w:pPr>
      <w:r w:rsidRPr="00E14E91">
        <w:rPr>
          <w:rFonts w:ascii="Tahoma" w:hAnsi="Tahoma" w:cs="Tahoma"/>
        </w:rPr>
        <w:t>Banka Slovenije je s spremembo ukrepa le tega sprostila za upravičence po Zakonu o stanovanjski jamstveni shemi za mlade (ZSJSM), torej mlade do 38 let in mlade družine ob prvem reševanju stanovanjskega problema. Je pa za izvajanje tega zakona potrebno sprejeti še vladno uredbo, ki bo omogočala tehnično izvajanje, ki je v pripravi in nam njena vsebina še ni znana. Izvedbeni akt ima zelo pomemben vpliv na pogoje in s tem tudi</w:t>
      </w:r>
      <w:r w:rsidR="00F877F3" w:rsidRPr="00E14E91">
        <w:rPr>
          <w:rFonts w:ascii="Tahoma" w:hAnsi="Tahoma" w:cs="Tahoma"/>
        </w:rPr>
        <w:t xml:space="preserve"> na</w:t>
      </w:r>
      <w:r w:rsidRPr="00E14E91">
        <w:rPr>
          <w:rFonts w:ascii="Tahoma" w:hAnsi="Tahoma" w:cs="Tahoma"/>
        </w:rPr>
        <w:t xml:space="preserve"> izvedljivosti in dejansk</w:t>
      </w:r>
      <w:r w:rsidR="00F877F3" w:rsidRPr="00E14E91">
        <w:rPr>
          <w:rFonts w:ascii="Tahoma" w:hAnsi="Tahoma" w:cs="Tahoma"/>
        </w:rPr>
        <w:t>o</w:t>
      </w:r>
      <w:r w:rsidRPr="00E14E91">
        <w:rPr>
          <w:rFonts w:ascii="Tahoma" w:hAnsi="Tahoma" w:cs="Tahoma"/>
        </w:rPr>
        <w:t xml:space="preserve"> učinkovitost</w:t>
      </w:r>
      <w:r w:rsidR="00F877F3" w:rsidRPr="00E14E91">
        <w:rPr>
          <w:rFonts w:ascii="Tahoma" w:hAnsi="Tahoma" w:cs="Tahoma"/>
        </w:rPr>
        <w:t>. P</w:t>
      </w:r>
      <w:r w:rsidRPr="00E14E91">
        <w:rPr>
          <w:rFonts w:ascii="Tahoma" w:hAnsi="Tahoma" w:cs="Tahoma"/>
        </w:rPr>
        <w:t xml:space="preserve">redlogi bančnega sektorja so bili s ciljem, da se zagotovi izvedljivost sheme v praksi, že posredovani, da bi lahko bili upoštevani že v fazi priprave uredbe. </w:t>
      </w:r>
      <w:r w:rsidR="00E247BB" w:rsidRPr="00E14E91">
        <w:rPr>
          <w:rFonts w:ascii="Tahoma" w:hAnsi="Tahoma" w:cs="Tahoma"/>
        </w:rPr>
        <w:t xml:space="preserve">V vsakem primeru bo izvajanje zakona </w:t>
      </w:r>
      <w:r w:rsidRPr="00E14E91">
        <w:rPr>
          <w:rFonts w:ascii="Tahoma" w:hAnsi="Tahoma" w:cs="Tahoma"/>
        </w:rPr>
        <w:t>od bank zahtevalo dodatne spremljave in poročanja ter tudi  plačilo stroška za jamstva</w:t>
      </w:r>
      <w:r w:rsidR="00E247BB" w:rsidRPr="00E14E91">
        <w:rPr>
          <w:rFonts w:ascii="Tahoma" w:hAnsi="Tahoma" w:cs="Tahoma"/>
        </w:rPr>
        <w:t xml:space="preserve">. </w:t>
      </w:r>
    </w:p>
    <w:p w14:paraId="516C6565" w14:textId="467AC090" w:rsidR="00E247BB" w:rsidRPr="00E14E91" w:rsidRDefault="00E247BB" w:rsidP="00BC1460">
      <w:pPr>
        <w:jc w:val="both"/>
        <w:rPr>
          <w:rFonts w:ascii="Tahoma" w:hAnsi="Tahoma" w:cs="Tahoma"/>
        </w:rPr>
      </w:pPr>
    </w:p>
    <w:p w14:paraId="489944E2" w14:textId="2B5CE4A3" w:rsidR="00E247BB" w:rsidRPr="00E14E91" w:rsidRDefault="00E247BB" w:rsidP="00E247BB">
      <w:pPr>
        <w:jc w:val="both"/>
        <w:rPr>
          <w:rFonts w:ascii="Tahoma" w:hAnsi="Tahoma" w:cs="Tahoma"/>
        </w:rPr>
      </w:pPr>
      <w:r w:rsidRPr="00E14E91">
        <w:rPr>
          <w:rFonts w:ascii="Tahoma" w:hAnsi="Tahoma" w:cs="Tahoma"/>
        </w:rPr>
        <w:t>Makrobonitetni ukrep se spreminja tudi pri kreditiranju samostojnih podjetnikov normirancev, pri katerih se pri trenutnem izračunu kreditne sposobnosti lahko upošteva le do 20 odstotkov davčno priznanih dohodkov, ki jih je potrebno zmanjšati za davke in prispevke, kar v praksi pomeni, da so večinoma kreditno nesposobni. Po novem se bo kreditno sposobnost lahko ugotavljalo na podlagi upoštevanja računovodskih izkazov. Ta sprememba bo predvidoma delu samostojnih podjetnikov tudi nekoliko izboljšala kreditno sposobnost.</w:t>
      </w:r>
    </w:p>
    <w:p w14:paraId="6E3A2B3A" w14:textId="77777777" w:rsidR="00E247BB" w:rsidRPr="00E14E91" w:rsidRDefault="00E247BB" w:rsidP="00BC1460">
      <w:pPr>
        <w:jc w:val="both"/>
        <w:rPr>
          <w:rFonts w:ascii="Tahoma" w:hAnsi="Tahoma" w:cs="Tahoma"/>
        </w:rPr>
      </w:pPr>
    </w:p>
    <w:p w14:paraId="6DC5423B" w14:textId="57937F4B" w:rsidR="00D036D8" w:rsidRPr="00E14E91" w:rsidRDefault="00BC1460" w:rsidP="00D036D8">
      <w:pPr>
        <w:jc w:val="both"/>
        <w:rPr>
          <w:rFonts w:ascii="Tahoma" w:hAnsi="Tahoma" w:cs="Tahoma"/>
        </w:rPr>
      </w:pPr>
      <w:r w:rsidRPr="00E14E91">
        <w:rPr>
          <w:rFonts w:ascii="Tahoma" w:hAnsi="Tahoma" w:cs="Tahoma"/>
        </w:rPr>
        <w:t>Možnost izjeme je obstajala že do sedaj, vendar je dejanska uporaba zelo omejena zaradi izpostavljenost</w:t>
      </w:r>
      <w:r w:rsidR="00F877F3" w:rsidRPr="00E14E91">
        <w:rPr>
          <w:rFonts w:ascii="Tahoma" w:hAnsi="Tahoma" w:cs="Tahoma"/>
        </w:rPr>
        <w:t>i</w:t>
      </w:r>
      <w:r w:rsidRPr="00E14E91">
        <w:rPr>
          <w:rFonts w:ascii="Tahoma" w:hAnsi="Tahoma" w:cs="Tahoma"/>
        </w:rPr>
        <w:t xml:space="preserve"> neenotni obravnavi komitentov. Najavljena sprememba se nanaša predvsem na način izračunavanja kvote za dovoljene izjeme.</w:t>
      </w:r>
      <w:r w:rsidR="00D036D8" w:rsidRPr="00E14E91">
        <w:rPr>
          <w:rFonts w:ascii="Tahoma" w:hAnsi="Tahoma" w:cs="Tahoma"/>
        </w:rPr>
        <w:t xml:space="preserve"> Pri 10 odstotkih dovoljenih izjem bo šlo za dodatno segmentiranje strank in problem pristopa</w:t>
      </w:r>
      <w:r w:rsidR="00F877F3" w:rsidRPr="00E14E91">
        <w:rPr>
          <w:rFonts w:ascii="Tahoma" w:hAnsi="Tahoma" w:cs="Tahoma"/>
        </w:rPr>
        <w:t xml:space="preserve"> oz.</w:t>
      </w:r>
      <w:r w:rsidR="00D036D8" w:rsidRPr="00E14E91">
        <w:rPr>
          <w:rFonts w:ascii="Tahoma" w:hAnsi="Tahoma" w:cs="Tahoma"/>
        </w:rPr>
        <w:t xml:space="preserve"> kako bodo banke to sploh lahko izvajale.</w:t>
      </w:r>
    </w:p>
    <w:p w14:paraId="70C9DBEF" w14:textId="438ACBDE" w:rsidR="00BC1460" w:rsidRPr="00E14E91" w:rsidRDefault="00BC1460" w:rsidP="00BC1460">
      <w:pPr>
        <w:jc w:val="both"/>
        <w:rPr>
          <w:rFonts w:ascii="Tahoma" w:hAnsi="Tahoma" w:cs="Tahoma"/>
        </w:rPr>
      </w:pPr>
    </w:p>
    <w:p w14:paraId="1E5A06F0" w14:textId="77B15896" w:rsidR="00BC1460" w:rsidRPr="00E14E91" w:rsidRDefault="00BC1460" w:rsidP="00BC1460">
      <w:pPr>
        <w:jc w:val="both"/>
        <w:rPr>
          <w:rFonts w:ascii="Tahoma" w:hAnsi="Tahoma" w:cs="Tahoma"/>
        </w:rPr>
      </w:pPr>
      <w:r w:rsidRPr="00E14E91">
        <w:rPr>
          <w:rFonts w:ascii="Tahoma" w:hAnsi="Tahoma" w:cs="Tahoma"/>
        </w:rPr>
        <w:t>Ob tem pa se zaostruje priporočilo glede najvišjega možnega zneska odobritve kredita, ki je po novem 70 odstotkov. Po informacijah, ki jih je javno predstavila Banka Slovenije</w:t>
      </w:r>
      <w:r w:rsidR="00F877F3" w:rsidRPr="00E14E91">
        <w:rPr>
          <w:rFonts w:ascii="Tahoma" w:hAnsi="Tahoma" w:cs="Tahoma"/>
        </w:rPr>
        <w:t>,</w:t>
      </w:r>
      <w:r w:rsidRPr="00E14E91">
        <w:rPr>
          <w:rFonts w:ascii="Tahoma" w:hAnsi="Tahoma" w:cs="Tahoma"/>
        </w:rPr>
        <w:t xml:space="preserve"> je v praksi na agregatni ravni ta delež že sicer celo nižji in na ravni 60</w:t>
      </w:r>
      <w:r w:rsidR="00F877F3" w:rsidRPr="00E14E91">
        <w:rPr>
          <w:rFonts w:ascii="Tahoma" w:hAnsi="Tahoma" w:cs="Tahoma"/>
        </w:rPr>
        <w:t xml:space="preserve"> odstotkov</w:t>
      </w:r>
      <w:r w:rsidRPr="00E14E91">
        <w:rPr>
          <w:rFonts w:ascii="Tahoma" w:hAnsi="Tahoma" w:cs="Tahoma"/>
        </w:rPr>
        <w:t xml:space="preserve">, zaradi česar kakšnega </w:t>
      </w:r>
      <w:r w:rsidRPr="00E14E91">
        <w:rPr>
          <w:rFonts w:ascii="Tahoma" w:hAnsi="Tahoma" w:cs="Tahoma"/>
        </w:rPr>
        <w:lastRenderedPageBreak/>
        <w:t>posebnega učinka te spremembe ni pričakovati</w:t>
      </w:r>
      <w:r w:rsidR="00F877F3" w:rsidRPr="00E14E91">
        <w:rPr>
          <w:rFonts w:ascii="Tahoma" w:hAnsi="Tahoma" w:cs="Tahoma"/>
        </w:rPr>
        <w:t>.</w:t>
      </w:r>
      <w:r w:rsidRPr="00E14E91">
        <w:rPr>
          <w:rFonts w:ascii="Tahoma" w:hAnsi="Tahoma" w:cs="Tahoma"/>
        </w:rPr>
        <w:t xml:space="preserve"> Dosedanje priporočilo o najvišjem možnem znesku odobritve kredita v višini 80 odstotkov ostaja v veljavi za tiste, ki prvič rešujejo stanovanjsko vprašanje oz. kupujejo primarno nepremičnino.</w:t>
      </w:r>
    </w:p>
    <w:p w14:paraId="7EC8F5A8" w14:textId="77777777" w:rsidR="00BC1460" w:rsidRPr="00E14E91" w:rsidRDefault="00BC1460" w:rsidP="00BC1460">
      <w:pPr>
        <w:jc w:val="both"/>
        <w:rPr>
          <w:rFonts w:ascii="Tahoma" w:hAnsi="Tahoma" w:cs="Tahoma"/>
        </w:rPr>
      </w:pPr>
    </w:p>
    <w:p w14:paraId="4FFF75BF" w14:textId="35D83E17" w:rsidR="00D036D8" w:rsidRPr="00E14E91" w:rsidRDefault="00BC1460" w:rsidP="00BC1460">
      <w:pPr>
        <w:jc w:val="both"/>
        <w:rPr>
          <w:rFonts w:ascii="Tahoma" w:hAnsi="Tahoma" w:cs="Tahoma"/>
        </w:rPr>
      </w:pPr>
      <w:r w:rsidRPr="00E14E91">
        <w:rPr>
          <w:rFonts w:ascii="Tahoma" w:hAnsi="Tahoma" w:cs="Tahoma"/>
        </w:rPr>
        <w:t>Napovedane spremembe prinašajo, kot rečeno, več razredov kreditojemalcev</w:t>
      </w:r>
      <w:r w:rsidR="00F877F3" w:rsidRPr="00E14E91">
        <w:rPr>
          <w:rFonts w:ascii="Tahoma" w:hAnsi="Tahoma" w:cs="Tahoma"/>
        </w:rPr>
        <w:t xml:space="preserve"> </w:t>
      </w:r>
      <w:r w:rsidRPr="00E14E91">
        <w:rPr>
          <w:rFonts w:ascii="Tahoma" w:hAnsi="Tahoma" w:cs="Tahoma"/>
        </w:rPr>
        <w:t xml:space="preserve">in torej segmentacijo </w:t>
      </w:r>
      <w:r w:rsidR="00F877F3" w:rsidRPr="00E14E91">
        <w:rPr>
          <w:rFonts w:ascii="Tahoma" w:hAnsi="Tahoma" w:cs="Tahoma"/>
        </w:rPr>
        <w:t>ter</w:t>
      </w:r>
      <w:r w:rsidRPr="00E14E91">
        <w:rPr>
          <w:rFonts w:ascii="Tahoma" w:hAnsi="Tahoma" w:cs="Tahoma"/>
        </w:rPr>
        <w:t xml:space="preserve"> kompleksnost spremljave, ki bo </w:t>
      </w:r>
      <w:r w:rsidR="00F877F3" w:rsidRPr="00E14E91">
        <w:rPr>
          <w:rFonts w:ascii="Tahoma" w:hAnsi="Tahoma" w:cs="Tahoma"/>
        </w:rPr>
        <w:t>povzročila</w:t>
      </w:r>
      <w:r w:rsidRPr="00E14E91">
        <w:rPr>
          <w:rFonts w:ascii="Tahoma" w:hAnsi="Tahoma" w:cs="Tahoma"/>
        </w:rPr>
        <w:t xml:space="preserve"> dodatne stroške implementacije. In še vedno sodi makrobonitetni ukrep med najbolj rigorozne med članicami EU ob tem, da so slovenska gospodinjstva med najmanj zadolženimi v EU, primerjalno najnižjim deležem neplačnikov in primerjalno </w:t>
      </w:r>
      <w:r w:rsidR="00F877F3" w:rsidRPr="00E14E91">
        <w:rPr>
          <w:rFonts w:ascii="Tahoma" w:hAnsi="Tahoma" w:cs="Tahoma"/>
        </w:rPr>
        <w:t xml:space="preserve">z </w:t>
      </w:r>
      <w:r w:rsidRPr="00E14E91">
        <w:rPr>
          <w:rFonts w:ascii="Tahoma" w:hAnsi="Tahoma" w:cs="Tahoma"/>
        </w:rPr>
        <w:t xml:space="preserve">zelo dobrim razmerjem med razpoložljivim dohodkom </w:t>
      </w:r>
      <w:r w:rsidR="00F877F3" w:rsidRPr="00E14E91">
        <w:rPr>
          <w:rFonts w:ascii="Tahoma" w:hAnsi="Tahoma" w:cs="Tahoma"/>
        </w:rPr>
        <w:t>ter</w:t>
      </w:r>
      <w:r w:rsidRPr="00E14E91">
        <w:rPr>
          <w:rFonts w:ascii="Tahoma" w:hAnsi="Tahoma" w:cs="Tahoma"/>
        </w:rPr>
        <w:t xml:space="preserve"> stroškom servisiranja dolga, kar pomeni tudi primerjalno nižjo izpostavljenost kreditnemu tveganju. </w:t>
      </w:r>
    </w:p>
    <w:p w14:paraId="5407E0A4" w14:textId="77777777" w:rsidR="00D036D8" w:rsidRPr="00E14E91" w:rsidRDefault="00D036D8" w:rsidP="00BC1460">
      <w:pPr>
        <w:jc w:val="both"/>
        <w:rPr>
          <w:rFonts w:ascii="Tahoma" w:hAnsi="Tahoma" w:cs="Tahoma"/>
        </w:rPr>
      </w:pPr>
    </w:p>
    <w:p w14:paraId="56C4401C" w14:textId="724CCE9B" w:rsidR="00BC1460" w:rsidRPr="00E14E91" w:rsidRDefault="00BC1460" w:rsidP="00BC1460">
      <w:pPr>
        <w:jc w:val="both"/>
        <w:rPr>
          <w:rFonts w:ascii="Tahoma" w:hAnsi="Tahoma" w:cs="Tahoma"/>
        </w:rPr>
      </w:pPr>
      <w:r w:rsidRPr="00E14E91">
        <w:rPr>
          <w:rFonts w:ascii="Tahoma" w:hAnsi="Tahoma" w:cs="Tahoma"/>
        </w:rPr>
        <w:t xml:space="preserve">Hkrati pa je </w:t>
      </w:r>
      <w:r w:rsidR="00D036D8" w:rsidRPr="00E14E91">
        <w:rPr>
          <w:rFonts w:ascii="Tahoma" w:hAnsi="Tahoma" w:cs="Tahoma"/>
        </w:rPr>
        <w:t>Banka Slovenije sprejela tudi makrobonitetni ukrep</w:t>
      </w:r>
      <w:r w:rsidR="00F877F3" w:rsidRPr="00E14E91">
        <w:rPr>
          <w:rFonts w:ascii="Tahoma" w:hAnsi="Tahoma" w:cs="Tahoma"/>
        </w:rPr>
        <w:t>,</w:t>
      </w:r>
      <w:r w:rsidR="00D036D8" w:rsidRPr="00E14E91">
        <w:rPr>
          <w:rFonts w:ascii="Tahoma" w:hAnsi="Tahoma" w:cs="Tahoma"/>
        </w:rPr>
        <w:t xml:space="preserve"> s katerim uvaja </w:t>
      </w:r>
      <w:r w:rsidRPr="00E14E91">
        <w:rPr>
          <w:rFonts w:ascii="Tahoma" w:hAnsi="Tahoma" w:cs="Tahoma"/>
        </w:rPr>
        <w:t>dodatne kapitalske zahteve v letu 2023 za kredite, ki jih najemajo fizične osebe, kar bo podražilo poslovanje bank in jih dodatno postavilo v neenake pogoje poslovanja v primerjavi z bančnimi sistemi drugih držav EU</w:t>
      </w:r>
      <w:r w:rsidR="00C24D6F" w:rsidRPr="00E14E91">
        <w:rPr>
          <w:rFonts w:ascii="Tahoma" w:hAnsi="Tahoma" w:cs="Tahoma"/>
        </w:rPr>
        <w:t>.</w:t>
      </w:r>
      <w:r w:rsidRPr="00E14E91">
        <w:rPr>
          <w:rFonts w:ascii="Tahoma" w:hAnsi="Tahoma" w:cs="Tahoma"/>
        </w:rPr>
        <w:t xml:space="preserve"> </w:t>
      </w:r>
    </w:p>
    <w:p w14:paraId="41DC6556" w14:textId="77777777" w:rsidR="00BC1460" w:rsidRPr="00E14E91" w:rsidRDefault="00BC1460" w:rsidP="00BC1460">
      <w:pPr>
        <w:jc w:val="both"/>
        <w:rPr>
          <w:rFonts w:ascii="Tahoma" w:hAnsi="Tahoma" w:cs="Tahoma"/>
        </w:rPr>
      </w:pPr>
    </w:p>
    <w:p w14:paraId="3F28750D" w14:textId="016FF9BC" w:rsidR="00BC1460" w:rsidRPr="00E14E91" w:rsidRDefault="00BC1460" w:rsidP="00BC1460">
      <w:pPr>
        <w:jc w:val="both"/>
        <w:rPr>
          <w:rFonts w:ascii="Tahoma" w:hAnsi="Tahoma" w:cs="Tahoma"/>
        </w:rPr>
      </w:pPr>
      <w:r w:rsidRPr="00E14E91">
        <w:rPr>
          <w:rFonts w:ascii="Tahoma" w:hAnsi="Tahoma" w:cs="Tahoma"/>
        </w:rPr>
        <w:t xml:space="preserve">Pri uveljavljanju izjem od siceršnjih makrobonitetnih omejitev pa bodo banke še vedno morale slediti  določilom Zakona o potrošniških kreditih (ZPotK-2) in smernicam evropskega bančnega organa EBA, po katerih so dolžne oceniti kreditno sposobnost kreditojemalca in oblikovati ustrezno kreditno politiko, ki bo še naprej podlaga za odločitev o odobritvi kredita </w:t>
      </w:r>
      <w:r w:rsidR="00C24D6F" w:rsidRPr="00E14E91">
        <w:rPr>
          <w:rFonts w:ascii="Tahoma" w:hAnsi="Tahoma" w:cs="Tahoma"/>
        </w:rPr>
        <w:t>ter</w:t>
      </w:r>
      <w:r w:rsidRPr="00E14E91">
        <w:rPr>
          <w:rFonts w:ascii="Tahoma" w:hAnsi="Tahoma" w:cs="Tahoma"/>
        </w:rPr>
        <w:t xml:space="preserve"> na osnovi tega tudi, komu bodo banke lahko odobrile kredit</w:t>
      </w:r>
      <w:r w:rsidR="00C24D6F" w:rsidRPr="00E14E91">
        <w:rPr>
          <w:rFonts w:ascii="Tahoma" w:hAnsi="Tahoma" w:cs="Tahoma"/>
        </w:rPr>
        <w:t>,</w:t>
      </w:r>
      <w:r w:rsidRPr="00E14E91">
        <w:rPr>
          <w:rFonts w:ascii="Tahoma" w:hAnsi="Tahoma" w:cs="Tahoma"/>
        </w:rPr>
        <w:t xml:space="preserve"> in pod kakšnimi pogoji na podlagi predlagane izjeme v okviru makrobonitetnih omejitev.</w:t>
      </w:r>
    </w:p>
    <w:p w14:paraId="0E1F4147" w14:textId="77777777" w:rsidR="00BC1460" w:rsidRPr="00E14E91" w:rsidRDefault="00BC1460" w:rsidP="00BC1460">
      <w:pPr>
        <w:jc w:val="both"/>
        <w:rPr>
          <w:rFonts w:ascii="Tahoma" w:hAnsi="Tahoma" w:cs="Tahoma"/>
        </w:rPr>
      </w:pPr>
    </w:p>
    <w:p w14:paraId="13C995A9" w14:textId="1D053FCB" w:rsidR="00CB00FB" w:rsidRPr="00E14E91" w:rsidRDefault="005D2E50" w:rsidP="00FD204D">
      <w:pPr>
        <w:jc w:val="both"/>
        <w:rPr>
          <w:rFonts w:ascii="Tahoma" w:hAnsi="Tahoma" w:cs="Tahoma"/>
        </w:rPr>
      </w:pPr>
      <w:r w:rsidRPr="00E14E91">
        <w:rPr>
          <w:rFonts w:ascii="Tahoma" w:hAnsi="Tahoma" w:cs="Tahoma"/>
        </w:rPr>
        <w:t>Vse u</w:t>
      </w:r>
      <w:r w:rsidR="00CB00FB" w:rsidRPr="00E14E91">
        <w:rPr>
          <w:rFonts w:ascii="Tahoma" w:hAnsi="Tahoma" w:cs="Tahoma"/>
        </w:rPr>
        <w:t xml:space="preserve">činke sprememb makrobonitetnih ukrepov na kreditiranje prebivalstva </w:t>
      </w:r>
      <w:r w:rsidR="0069331C" w:rsidRPr="00E14E91">
        <w:rPr>
          <w:rFonts w:ascii="Tahoma" w:hAnsi="Tahoma" w:cs="Tahoma"/>
        </w:rPr>
        <w:t xml:space="preserve">je </w:t>
      </w:r>
      <w:r w:rsidR="00CB00FB" w:rsidRPr="00E14E91">
        <w:rPr>
          <w:rFonts w:ascii="Tahoma" w:hAnsi="Tahoma" w:cs="Tahoma"/>
        </w:rPr>
        <w:t>v tej fazi</w:t>
      </w:r>
      <w:r w:rsidRPr="00E14E91">
        <w:rPr>
          <w:rFonts w:ascii="Tahoma" w:hAnsi="Tahoma" w:cs="Tahoma"/>
        </w:rPr>
        <w:t xml:space="preserve"> sicer</w:t>
      </w:r>
      <w:r w:rsidR="00CB00FB" w:rsidRPr="00E14E91">
        <w:rPr>
          <w:rFonts w:ascii="Tahoma" w:hAnsi="Tahoma" w:cs="Tahoma"/>
        </w:rPr>
        <w:t xml:space="preserve"> zelo težko oceni</w:t>
      </w:r>
      <w:r w:rsidR="0069331C" w:rsidRPr="00E14E91">
        <w:rPr>
          <w:rFonts w:ascii="Tahoma" w:hAnsi="Tahoma" w:cs="Tahoma"/>
        </w:rPr>
        <w:t>ti</w:t>
      </w:r>
      <w:r w:rsidR="00CB00FB" w:rsidRPr="00E14E91">
        <w:rPr>
          <w:rFonts w:ascii="Tahoma" w:hAnsi="Tahoma" w:cs="Tahoma"/>
        </w:rPr>
        <w:t xml:space="preserve">, saj </w:t>
      </w:r>
      <w:r w:rsidR="00D036D8" w:rsidRPr="00E14E91">
        <w:rPr>
          <w:rFonts w:ascii="Tahoma" w:hAnsi="Tahoma" w:cs="Tahoma"/>
        </w:rPr>
        <w:t xml:space="preserve">so ukrepi zelo segmentirani, učinki pa bodo odvisni tudi </w:t>
      </w:r>
      <w:r w:rsidR="00CB00FB" w:rsidRPr="00E14E91">
        <w:rPr>
          <w:rFonts w:ascii="Tahoma" w:hAnsi="Tahoma" w:cs="Tahoma"/>
        </w:rPr>
        <w:t>od dejanskega povpraševanja kreditojemalcev z mejnimi dohodki</w:t>
      </w:r>
      <w:r w:rsidR="00FD204D" w:rsidRPr="00E14E91">
        <w:rPr>
          <w:rFonts w:ascii="Tahoma" w:hAnsi="Tahoma" w:cs="Tahoma"/>
        </w:rPr>
        <w:t>. J</w:t>
      </w:r>
      <w:r w:rsidR="0069331C" w:rsidRPr="00E14E91">
        <w:rPr>
          <w:rFonts w:ascii="Tahoma" w:hAnsi="Tahoma" w:cs="Tahoma"/>
        </w:rPr>
        <w:t>e pa vseeno pričakovati, da bi napovedani delni segmentirani umik z novembrom 2019 uvedenih nominalnih zahtev</w:t>
      </w:r>
      <w:r w:rsidR="00C24D6F" w:rsidRPr="00E14E91">
        <w:rPr>
          <w:rFonts w:ascii="Tahoma" w:hAnsi="Tahoma" w:cs="Tahoma"/>
        </w:rPr>
        <w:t>,</w:t>
      </w:r>
      <w:r w:rsidR="0069331C" w:rsidRPr="00E14E91">
        <w:rPr>
          <w:rFonts w:ascii="Tahoma" w:hAnsi="Tahoma" w:cs="Tahoma"/>
        </w:rPr>
        <w:t xml:space="preserve"> povezanih z vzdrževanimi člani, ki predstavlja največjo omejitev kreditiranja predvsem družin, le nekoliko ublažil nezmožnost dostopanja do kreditov. </w:t>
      </w:r>
    </w:p>
    <w:p w14:paraId="0C7F47BF" w14:textId="550B0AEE" w:rsidR="004B530B" w:rsidRPr="00E14E91" w:rsidRDefault="004B530B" w:rsidP="00EE04A7">
      <w:pPr>
        <w:pStyle w:val="PlainText"/>
        <w:jc w:val="both"/>
        <w:rPr>
          <w:rFonts w:ascii="Tahoma" w:hAnsi="Tahoma" w:cs="Tahoma"/>
        </w:rPr>
      </w:pPr>
    </w:p>
    <w:p w14:paraId="23AF2960" w14:textId="77777777" w:rsidR="00CB00FB" w:rsidRPr="00E14E91" w:rsidRDefault="00CB00FB" w:rsidP="00EE04A7">
      <w:pPr>
        <w:pStyle w:val="PlainText"/>
        <w:jc w:val="both"/>
        <w:rPr>
          <w:rFonts w:ascii="Tahoma" w:hAnsi="Tahoma" w:cs="Tahoma"/>
        </w:rPr>
      </w:pPr>
    </w:p>
    <w:p w14:paraId="4C618725" w14:textId="6808949F" w:rsidR="00E10FFD" w:rsidRPr="00E14E91" w:rsidRDefault="00A24499" w:rsidP="00EE04A7">
      <w:pPr>
        <w:pStyle w:val="PlainText"/>
        <w:rPr>
          <w:rFonts w:ascii="Tahoma" w:hAnsi="Tahoma" w:cs="Tahoma"/>
        </w:rPr>
      </w:pPr>
      <w:r w:rsidRPr="00E14E91">
        <w:rPr>
          <w:rFonts w:ascii="Tahoma" w:hAnsi="Tahoma" w:cs="Tahoma"/>
        </w:rPr>
        <w:t>Združenje bank Slovenije</w:t>
      </w:r>
      <w:r w:rsidRPr="00E14E91">
        <w:rPr>
          <w:rFonts w:ascii="Tahoma" w:hAnsi="Tahoma" w:cs="Tahoma"/>
        </w:rPr>
        <w:br/>
        <w:t>Ljubljana,</w:t>
      </w:r>
      <w:r w:rsidR="006770C1" w:rsidRPr="00E14E91">
        <w:rPr>
          <w:rFonts w:ascii="Tahoma" w:hAnsi="Tahoma" w:cs="Tahoma"/>
        </w:rPr>
        <w:t xml:space="preserve"> </w:t>
      </w:r>
      <w:r w:rsidR="00F23BB3" w:rsidRPr="00E14E91">
        <w:rPr>
          <w:rFonts w:ascii="Tahoma" w:hAnsi="Tahoma" w:cs="Tahoma"/>
        </w:rPr>
        <w:t>20</w:t>
      </w:r>
      <w:r w:rsidR="004B530B" w:rsidRPr="00E14E91">
        <w:rPr>
          <w:rFonts w:ascii="Tahoma" w:hAnsi="Tahoma" w:cs="Tahoma"/>
        </w:rPr>
        <w:t>. maj</w:t>
      </w:r>
      <w:r w:rsidR="00FA2C79" w:rsidRPr="00E14E91">
        <w:rPr>
          <w:rFonts w:ascii="Tahoma" w:hAnsi="Tahoma" w:cs="Tahoma"/>
        </w:rPr>
        <w:t xml:space="preserve"> </w:t>
      </w:r>
      <w:r w:rsidR="00671040" w:rsidRPr="00E14E91">
        <w:rPr>
          <w:rFonts w:ascii="Tahoma" w:hAnsi="Tahoma" w:cs="Tahoma"/>
        </w:rPr>
        <w:t>202</w:t>
      </w:r>
      <w:r w:rsidR="004830B9" w:rsidRPr="00E14E91">
        <w:rPr>
          <w:rFonts w:ascii="Tahoma" w:hAnsi="Tahoma" w:cs="Tahoma"/>
        </w:rPr>
        <w:t>2</w:t>
      </w:r>
    </w:p>
    <w:sectPr w:rsidR="00E10FFD" w:rsidRPr="00E14E91" w:rsidSect="00147AC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59D2" w14:textId="77777777" w:rsidR="00150DCB" w:rsidRDefault="00150DCB" w:rsidP="008A60E7">
      <w:r>
        <w:separator/>
      </w:r>
    </w:p>
  </w:endnote>
  <w:endnote w:type="continuationSeparator" w:id="0">
    <w:p w14:paraId="11F27B14" w14:textId="77777777" w:rsidR="00150DCB" w:rsidRDefault="00150DCB"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E14E91"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038C" w14:textId="77777777" w:rsidR="00150DCB" w:rsidRDefault="00150DCB" w:rsidP="008A60E7">
      <w:r>
        <w:separator/>
      </w:r>
    </w:p>
  </w:footnote>
  <w:footnote w:type="continuationSeparator" w:id="0">
    <w:p w14:paraId="5E9C90A1" w14:textId="77777777" w:rsidR="00150DCB" w:rsidRDefault="00150DCB"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67876"/>
    <w:multiLevelType w:val="hybridMultilevel"/>
    <w:tmpl w:val="447CC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2407D6"/>
    <w:multiLevelType w:val="hybridMultilevel"/>
    <w:tmpl w:val="A8CE92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92615880">
    <w:abstractNumId w:val="2"/>
  </w:num>
  <w:num w:numId="2" w16cid:durableId="1374382740">
    <w:abstractNumId w:val="7"/>
  </w:num>
  <w:num w:numId="3" w16cid:durableId="20787557">
    <w:abstractNumId w:val="6"/>
  </w:num>
  <w:num w:numId="4" w16cid:durableId="546724035">
    <w:abstractNumId w:val="3"/>
  </w:num>
  <w:num w:numId="5" w16cid:durableId="1582568101">
    <w:abstractNumId w:val="8"/>
  </w:num>
  <w:num w:numId="6" w16cid:durableId="431123280">
    <w:abstractNumId w:val="16"/>
  </w:num>
  <w:num w:numId="7" w16cid:durableId="77487444">
    <w:abstractNumId w:val="14"/>
  </w:num>
  <w:num w:numId="8" w16cid:durableId="1018701825">
    <w:abstractNumId w:val="20"/>
  </w:num>
  <w:num w:numId="9" w16cid:durableId="770129720">
    <w:abstractNumId w:val="5"/>
  </w:num>
  <w:num w:numId="10" w16cid:durableId="1727602585">
    <w:abstractNumId w:val="21"/>
  </w:num>
  <w:num w:numId="11" w16cid:durableId="274097503">
    <w:abstractNumId w:val="10"/>
  </w:num>
  <w:num w:numId="12" w16cid:durableId="955255103">
    <w:abstractNumId w:val="0"/>
  </w:num>
  <w:num w:numId="13" w16cid:durableId="691422633">
    <w:abstractNumId w:val="19"/>
  </w:num>
  <w:num w:numId="14" w16cid:durableId="788164160">
    <w:abstractNumId w:val="13"/>
  </w:num>
  <w:num w:numId="15" w16cid:durableId="1817137296">
    <w:abstractNumId w:val="9"/>
  </w:num>
  <w:num w:numId="16" w16cid:durableId="598174994">
    <w:abstractNumId w:val="18"/>
  </w:num>
  <w:num w:numId="17" w16cid:durableId="295915263">
    <w:abstractNumId w:val="15"/>
  </w:num>
  <w:num w:numId="18" w16cid:durableId="631640809">
    <w:abstractNumId w:val="17"/>
  </w:num>
  <w:num w:numId="19" w16cid:durableId="396057481">
    <w:abstractNumId w:val="1"/>
  </w:num>
  <w:num w:numId="20" w16cid:durableId="2132019569">
    <w:abstractNumId w:val="11"/>
  </w:num>
  <w:num w:numId="21" w16cid:durableId="849759703">
    <w:abstractNumId w:val="4"/>
  </w:num>
  <w:num w:numId="22" w16cid:durableId="188063186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1369A"/>
    <w:rsid w:val="00022B34"/>
    <w:rsid w:val="000319D9"/>
    <w:rsid w:val="000409A2"/>
    <w:rsid w:val="00053111"/>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11A60"/>
    <w:rsid w:val="00116C60"/>
    <w:rsid w:val="00122885"/>
    <w:rsid w:val="001233A2"/>
    <w:rsid w:val="00125F3E"/>
    <w:rsid w:val="001312C9"/>
    <w:rsid w:val="001407F3"/>
    <w:rsid w:val="00143DC0"/>
    <w:rsid w:val="00147AC9"/>
    <w:rsid w:val="00150DCB"/>
    <w:rsid w:val="00151891"/>
    <w:rsid w:val="00153DB4"/>
    <w:rsid w:val="00155E5B"/>
    <w:rsid w:val="0016329F"/>
    <w:rsid w:val="00165474"/>
    <w:rsid w:val="00170D53"/>
    <w:rsid w:val="0017185A"/>
    <w:rsid w:val="00173C93"/>
    <w:rsid w:val="00175151"/>
    <w:rsid w:val="00180D0D"/>
    <w:rsid w:val="00180D66"/>
    <w:rsid w:val="00184CCC"/>
    <w:rsid w:val="0018594C"/>
    <w:rsid w:val="00191FA1"/>
    <w:rsid w:val="001A26F6"/>
    <w:rsid w:val="001A4406"/>
    <w:rsid w:val="001A7293"/>
    <w:rsid w:val="001B1E19"/>
    <w:rsid w:val="001B43DE"/>
    <w:rsid w:val="001B4B78"/>
    <w:rsid w:val="001C5CC9"/>
    <w:rsid w:val="001C60DF"/>
    <w:rsid w:val="001D2625"/>
    <w:rsid w:val="001E0A73"/>
    <w:rsid w:val="001F34D9"/>
    <w:rsid w:val="001F3C74"/>
    <w:rsid w:val="002009E7"/>
    <w:rsid w:val="00201F72"/>
    <w:rsid w:val="00214A45"/>
    <w:rsid w:val="00220317"/>
    <w:rsid w:val="00225CFA"/>
    <w:rsid w:val="002278C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7914"/>
    <w:rsid w:val="00324382"/>
    <w:rsid w:val="00332549"/>
    <w:rsid w:val="0033702E"/>
    <w:rsid w:val="00343076"/>
    <w:rsid w:val="0034633B"/>
    <w:rsid w:val="00350E41"/>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F18AE"/>
    <w:rsid w:val="003F5BA8"/>
    <w:rsid w:val="003F7C8E"/>
    <w:rsid w:val="00403E84"/>
    <w:rsid w:val="004124CE"/>
    <w:rsid w:val="00417323"/>
    <w:rsid w:val="004314C3"/>
    <w:rsid w:val="00465227"/>
    <w:rsid w:val="00473D9F"/>
    <w:rsid w:val="00477854"/>
    <w:rsid w:val="00481104"/>
    <w:rsid w:val="004811CF"/>
    <w:rsid w:val="004830B9"/>
    <w:rsid w:val="00490818"/>
    <w:rsid w:val="00492FBB"/>
    <w:rsid w:val="00493981"/>
    <w:rsid w:val="004966FF"/>
    <w:rsid w:val="004A0929"/>
    <w:rsid w:val="004B110B"/>
    <w:rsid w:val="004B1BBB"/>
    <w:rsid w:val="004B530B"/>
    <w:rsid w:val="004B7887"/>
    <w:rsid w:val="004C51E6"/>
    <w:rsid w:val="004C51FB"/>
    <w:rsid w:val="004D2491"/>
    <w:rsid w:val="004D6619"/>
    <w:rsid w:val="004E0D85"/>
    <w:rsid w:val="005036B8"/>
    <w:rsid w:val="0050514B"/>
    <w:rsid w:val="0050689C"/>
    <w:rsid w:val="00507048"/>
    <w:rsid w:val="00510B38"/>
    <w:rsid w:val="0051733A"/>
    <w:rsid w:val="0052178D"/>
    <w:rsid w:val="00522A3C"/>
    <w:rsid w:val="005268AA"/>
    <w:rsid w:val="00531987"/>
    <w:rsid w:val="005321CA"/>
    <w:rsid w:val="00533C36"/>
    <w:rsid w:val="005418A1"/>
    <w:rsid w:val="00542931"/>
    <w:rsid w:val="005447FD"/>
    <w:rsid w:val="00552717"/>
    <w:rsid w:val="00553FE0"/>
    <w:rsid w:val="00556840"/>
    <w:rsid w:val="00557D07"/>
    <w:rsid w:val="005612A6"/>
    <w:rsid w:val="00561A96"/>
    <w:rsid w:val="00561DAF"/>
    <w:rsid w:val="005622ED"/>
    <w:rsid w:val="00562698"/>
    <w:rsid w:val="005715CA"/>
    <w:rsid w:val="00576FBD"/>
    <w:rsid w:val="00577B67"/>
    <w:rsid w:val="00581A28"/>
    <w:rsid w:val="00582D80"/>
    <w:rsid w:val="00586728"/>
    <w:rsid w:val="005A0B06"/>
    <w:rsid w:val="005A51BA"/>
    <w:rsid w:val="005B2F6C"/>
    <w:rsid w:val="005B3FE4"/>
    <w:rsid w:val="005B7F7E"/>
    <w:rsid w:val="005C26D1"/>
    <w:rsid w:val="005D2E50"/>
    <w:rsid w:val="005D3C1E"/>
    <w:rsid w:val="005E3A0A"/>
    <w:rsid w:val="005E76D1"/>
    <w:rsid w:val="005F40C0"/>
    <w:rsid w:val="00602EC5"/>
    <w:rsid w:val="00607D00"/>
    <w:rsid w:val="00611208"/>
    <w:rsid w:val="006120B0"/>
    <w:rsid w:val="00616CF3"/>
    <w:rsid w:val="006315A9"/>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F05"/>
    <w:rsid w:val="00685AEC"/>
    <w:rsid w:val="00687FBE"/>
    <w:rsid w:val="0069331C"/>
    <w:rsid w:val="00694E85"/>
    <w:rsid w:val="006A0AFB"/>
    <w:rsid w:val="006A7552"/>
    <w:rsid w:val="006B4565"/>
    <w:rsid w:val="006B583A"/>
    <w:rsid w:val="006B63AF"/>
    <w:rsid w:val="006B68E7"/>
    <w:rsid w:val="006C0598"/>
    <w:rsid w:val="006C7178"/>
    <w:rsid w:val="006C7498"/>
    <w:rsid w:val="006D6444"/>
    <w:rsid w:val="006E2B26"/>
    <w:rsid w:val="006F24C9"/>
    <w:rsid w:val="00700D73"/>
    <w:rsid w:val="007149DB"/>
    <w:rsid w:val="007163EA"/>
    <w:rsid w:val="007238BD"/>
    <w:rsid w:val="007347ED"/>
    <w:rsid w:val="007376AB"/>
    <w:rsid w:val="00745219"/>
    <w:rsid w:val="00745CB7"/>
    <w:rsid w:val="007467DC"/>
    <w:rsid w:val="007532DC"/>
    <w:rsid w:val="00757D7E"/>
    <w:rsid w:val="0076220B"/>
    <w:rsid w:val="0077410E"/>
    <w:rsid w:val="007830A8"/>
    <w:rsid w:val="00785DB5"/>
    <w:rsid w:val="0079226A"/>
    <w:rsid w:val="00796E8D"/>
    <w:rsid w:val="007A0C33"/>
    <w:rsid w:val="007B34EA"/>
    <w:rsid w:val="007C2A07"/>
    <w:rsid w:val="007C4430"/>
    <w:rsid w:val="007C5594"/>
    <w:rsid w:val="007D0C4C"/>
    <w:rsid w:val="007D3B79"/>
    <w:rsid w:val="007D4DA3"/>
    <w:rsid w:val="007E065A"/>
    <w:rsid w:val="007F11EF"/>
    <w:rsid w:val="007F1BC0"/>
    <w:rsid w:val="007F36E8"/>
    <w:rsid w:val="00805D67"/>
    <w:rsid w:val="0081105B"/>
    <w:rsid w:val="008171B9"/>
    <w:rsid w:val="0082007F"/>
    <w:rsid w:val="008221A1"/>
    <w:rsid w:val="008279D0"/>
    <w:rsid w:val="0083250B"/>
    <w:rsid w:val="00835240"/>
    <w:rsid w:val="00845051"/>
    <w:rsid w:val="0085241A"/>
    <w:rsid w:val="008545BF"/>
    <w:rsid w:val="00860D7F"/>
    <w:rsid w:val="00867712"/>
    <w:rsid w:val="0087097C"/>
    <w:rsid w:val="00871185"/>
    <w:rsid w:val="0087582A"/>
    <w:rsid w:val="008775EF"/>
    <w:rsid w:val="00880116"/>
    <w:rsid w:val="008801AB"/>
    <w:rsid w:val="00886302"/>
    <w:rsid w:val="00886615"/>
    <w:rsid w:val="00892AF0"/>
    <w:rsid w:val="00896769"/>
    <w:rsid w:val="008A2882"/>
    <w:rsid w:val="008A60E7"/>
    <w:rsid w:val="008A724F"/>
    <w:rsid w:val="008B6C80"/>
    <w:rsid w:val="008C0B2F"/>
    <w:rsid w:val="008C10FE"/>
    <w:rsid w:val="008C2FB3"/>
    <w:rsid w:val="008D4E5D"/>
    <w:rsid w:val="008D7FA0"/>
    <w:rsid w:val="008E07F0"/>
    <w:rsid w:val="008E3825"/>
    <w:rsid w:val="008E5A8C"/>
    <w:rsid w:val="008F174E"/>
    <w:rsid w:val="008F33AF"/>
    <w:rsid w:val="00900C18"/>
    <w:rsid w:val="0090391D"/>
    <w:rsid w:val="0091150D"/>
    <w:rsid w:val="009122F7"/>
    <w:rsid w:val="0091343C"/>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395B"/>
    <w:rsid w:val="00995178"/>
    <w:rsid w:val="009B5C66"/>
    <w:rsid w:val="009B7C64"/>
    <w:rsid w:val="009C1241"/>
    <w:rsid w:val="009C538B"/>
    <w:rsid w:val="009C76C0"/>
    <w:rsid w:val="009D2656"/>
    <w:rsid w:val="009E249D"/>
    <w:rsid w:val="00A02A33"/>
    <w:rsid w:val="00A03688"/>
    <w:rsid w:val="00A106EA"/>
    <w:rsid w:val="00A16FF2"/>
    <w:rsid w:val="00A24499"/>
    <w:rsid w:val="00A27299"/>
    <w:rsid w:val="00A3274F"/>
    <w:rsid w:val="00A43612"/>
    <w:rsid w:val="00A43D2F"/>
    <w:rsid w:val="00A6523D"/>
    <w:rsid w:val="00A65E4C"/>
    <w:rsid w:val="00A67C3B"/>
    <w:rsid w:val="00A7483B"/>
    <w:rsid w:val="00A86D8D"/>
    <w:rsid w:val="00A906F3"/>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B05850"/>
    <w:rsid w:val="00B236AD"/>
    <w:rsid w:val="00B24FAE"/>
    <w:rsid w:val="00B255E2"/>
    <w:rsid w:val="00B3120D"/>
    <w:rsid w:val="00B32E3B"/>
    <w:rsid w:val="00B3513E"/>
    <w:rsid w:val="00B3619E"/>
    <w:rsid w:val="00B5176C"/>
    <w:rsid w:val="00B51A86"/>
    <w:rsid w:val="00B71967"/>
    <w:rsid w:val="00B80550"/>
    <w:rsid w:val="00B95260"/>
    <w:rsid w:val="00BA0231"/>
    <w:rsid w:val="00BA255E"/>
    <w:rsid w:val="00BA3D58"/>
    <w:rsid w:val="00BB02A8"/>
    <w:rsid w:val="00BB3858"/>
    <w:rsid w:val="00BB3C4C"/>
    <w:rsid w:val="00BB4933"/>
    <w:rsid w:val="00BB61B5"/>
    <w:rsid w:val="00BB67CA"/>
    <w:rsid w:val="00BC1460"/>
    <w:rsid w:val="00BC15E8"/>
    <w:rsid w:val="00BC242D"/>
    <w:rsid w:val="00BC29F8"/>
    <w:rsid w:val="00BD2E50"/>
    <w:rsid w:val="00BD390C"/>
    <w:rsid w:val="00BD564B"/>
    <w:rsid w:val="00BF2A68"/>
    <w:rsid w:val="00BF4E5B"/>
    <w:rsid w:val="00BF66A8"/>
    <w:rsid w:val="00C1201C"/>
    <w:rsid w:val="00C12CDF"/>
    <w:rsid w:val="00C13A7F"/>
    <w:rsid w:val="00C24D6F"/>
    <w:rsid w:val="00C27384"/>
    <w:rsid w:val="00C274FC"/>
    <w:rsid w:val="00C3095A"/>
    <w:rsid w:val="00C36637"/>
    <w:rsid w:val="00C36AC7"/>
    <w:rsid w:val="00C40652"/>
    <w:rsid w:val="00C410FA"/>
    <w:rsid w:val="00C415A3"/>
    <w:rsid w:val="00C50421"/>
    <w:rsid w:val="00C6505C"/>
    <w:rsid w:val="00C71A73"/>
    <w:rsid w:val="00C72BE3"/>
    <w:rsid w:val="00C72E3E"/>
    <w:rsid w:val="00C80CF9"/>
    <w:rsid w:val="00C83663"/>
    <w:rsid w:val="00C9427E"/>
    <w:rsid w:val="00C9750D"/>
    <w:rsid w:val="00CA095C"/>
    <w:rsid w:val="00CB00FB"/>
    <w:rsid w:val="00CB6087"/>
    <w:rsid w:val="00CC0B92"/>
    <w:rsid w:val="00CC1ACA"/>
    <w:rsid w:val="00CC64DC"/>
    <w:rsid w:val="00CD2073"/>
    <w:rsid w:val="00CE0E07"/>
    <w:rsid w:val="00CE2A5E"/>
    <w:rsid w:val="00CE2F26"/>
    <w:rsid w:val="00CE748F"/>
    <w:rsid w:val="00CF1568"/>
    <w:rsid w:val="00CF4DC0"/>
    <w:rsid w:val="00D002F6"/>
    <w:rsid w:val="00D036D8"/>
    <w:rsid w:val="00D144E0"/>
    <w:rsid w:val="00D15818"/>
    <w:rsid w:val="00D17B80"/>
    <w:rsid w:val="00D41B31"/>
    <w:rsid w:val="00D55FD5"/>
    <w:rsid w:val="00D6250D"/>
    <w:rsid w:val="00D777ED"/>
    <w:rsid w:val="00D84C47"/>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4E91"/>
    <w:rsid w:val="00E15210"/>
    <w:rsid w:val="00E17AC4"/>
    <w:rsid w:val="00E23540"/>
    <w:rsid w:val="00E23DD0"/>
    <w:rsid w:val="00E247BB"/>
    <w:rsid w:val="00E30A97"/>
    <w:rsid w:val="00E36453"/>
    <w:rsid w:val="00E40910"/>
    <w:rsid w:val="00E43F89"/>
    <w:rsid w:val="00E44006"/>
    <w:rsid w:val="00E502CE"/>
    <w:rsid w:val="00E5084E"/>
    <w:rsid w:val="00E54434"/>
    <w:rsid w:val="00E55D99"/>
    <w:rsid w:val="00E75062"/>
    <w:rsid w:val="00E81201"/>
    <w:rsid w:val="00E97936"/>
    <w:rsid w:val="00E97D42"/>
    <w:rsid w:val="00EA16F4"/>
    <w:rsid w:val="00EA3954"/>
    <w:rsid w:val="00EB1E46"/>
    <w:rsid w:val="00EB40B6"/>
    <w:rsid w:val="00EB421A"/>
    <w:rsid w:val="00EC6183"/>
    <w:rsid w:val="00ED2927"/>
    <w:rsid w:val="00ED3F52"/>
    <w:rsid w:val="00ED42B6"/>
    <w:rsid w:val="00ED74F3"/>
    <w:rsid w:val="00EE04A7"/>
    <w:rsid w:val="00EE0DE8"/>
    <w:rsid w:val="00EF3A0A"/>
    <w:rsid w:val="00EF3A74"/>
    <w:rsid w:val="00EF7DD5"/>
    <w:rsid w:val="00F01419"/>
    <w:rsid w:val="00F01E08"/>
    <w:rsid w:val="00F12520"/>
    <w:rsid w:val="00F1595F"/>
    <w:rsid w:val="00F17CD0"/>
    <w:rsid w:val="00F2130B"/>
    <w:rsid w:val="00F215BF"/>
    <w:rsid w:val="00F21B78"/>
    <w:rsid w:val="00F23BB3"/>
    <w:rsid w:val="00F23BCC"/>
    <w:rsid w:val="00F247BC"/>
    <w:rsid w:val="00F24D09"/>
    <w:rsid w:val="00F2627C"/>
    <w:rsid w:val="00F30C43"/>
    <w:rsid w:val="00F36693"/>
    <w:rsid w:val="00F43463"/>
    <w:rsid w:val="00F5585F"/>
    <w:rsid w:val="00F561E5"/>
    <w:rsid w:val="00F62067"/>
    <w:rsid w:val="00F622D0"/>
    <w:rsid w:val="00F62961"/>
    <w:rsid w:val="00F6584B"/>
    <w:rsid w:val="00F66121"/>
    <w:rsid w:val="00F6762D"/>
    <w:rsid w:val="00F728C4"/>
    <w:rsid w:val="00F739F3"/>
    <w:rsid w:val="00F84C6D"/>
    <w:rsid w:val="00F877F3"/>
    <w:rsid w:val="00FA2C79"/>
    <w:rsid w:val="00FA63BB"/>
    <w:rsid w:val="00FB0017"/>
    <w:rsid w:val="00FD204D"/>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54088190">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49193833">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2220431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15122113">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55738562">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191604821">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dcterms:created xsi:type="dcterms:W3CDTF">2022-05-20T07:55:00Z</dcterms:created>
  <dcterms:modified xsi:type="dcterms:W3CDTF">2022-05-20T07:57:00Z</dcterms:modified>
</cp:coreProperties>
</file>