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D86C" w14:textId="7A4E8F02" w:rsidR="009B7C64" w:rsidRPr="003124D7" w:rsidRDefault="000A04E5" w:rsidP="00672B35">
      <w:pPr>
        <w:pStyle w:val="01oznaka1"/>
        <w:ind w:left="6663" w:right="-329"/>
        <w:jc w:val="both"/>
        <w:rPr>
          <w:rFonts w:ascii="Arial" w:hAnsi="Arial" w:cs="Arial"/>
          <w:b/>
          <w:szCs w:val="22"/>
          <w:lang w:val="sl-SI"/>
        </w:rPr>
      </w:pPr>
      <w:r w:rsidRPr="003124D7">
        <w:rPr>
          <w:rFonts w:ascii="Arial" w:hAnsi="Arial" w:cs="Arial"/>
          <w:noProof/>
          <w:szCs w:val="22"/>
          <w:lang w:val="sl-SI" w:eastAsia="sl-SI"/>
        </w:rPr>
        <w:drawing>
          <wp:anchor distT="0" distB="0" distL="114300" distR="114300" simplePos="0" relativeHeight="251659264" behindDoc="0" locked="0" layoutInCell="1" allowOverlap="1" wp14:anchorId="13269EFC" wp14:editId="4BADDF5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4D7">
        <w:rPr>
          <w:rFonts w:ascii="Arial" w:hAnsi="Arial" w:cs="Arial"/>
          <w:noProof/>
          <w:szCs w:val="22"/>
          <w:lang w:val="sl-SI" w:eastAsia="sl-SI"/>
        </w:rPr>
        <w:drawing>
          <wp:anchor distT="0" distB="0" distL="114300" distR="114300" simplePos="0" relativeHeight="251660288" behindDoc="0" locked="0" layoutInCell="1" allowOverlap="1" wp14:anchorId="685E1CD7" wp14:editId="7D855731">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46F9" w14:textId="219C930E" w:rsidR="00AC7D45" w:rsidRPr="003124D7" w:rsidRDefault="00AC7D45" w:rsidP="00672B35">
      <w:pPr>
        <w:jc w:val="both"/>
        <w:rPr>
          <w:rFonts w:ascii="Arial" w:hAnsi="Arial" w:cs="Arial"/>
          <w:lang w:eastAsia="en-US"/>
        </w:rPr>
      </w:pPr>
    </w:p>
    <w:p w14:paraId="0EC23656" w14:textId="77777777" w:rsidR="00AC7D45" w:rsidRPr="003124D7" w:rsidRDefault="00AC7D45" w:rsidP="00672B35">
      <w:pPr>
        <w:jc w:val="both"/>
        <w:rPr>
          <w:rFonts w:ascii="Arial" w:hAnsi="Arial" w:cs="Arial"/>
          <w:lang w:eastAsia="en-US"/>
        </w:rPr>
      </w:pPr>
    </w:p>
    <w:p w14:paraId="11D26064" w14:textId="77777777" w:rsidR="004830B9" w:rsidRPr="008F655F" w:rsidRDefault="004830B9" w:rsidP="00E802FC">
      <w:pPr>
        <w:jc w:val="both"/>
        <w:rPr>
          <w:rFonts w:ascii="Tahoma" w:hAnsi="Tahoma" w:cs="Tahoma"/>
          <w:b/>
        </w:rPr>
      </w:pPr>
    </w:p>
    <w:p w14:paraId="72A8A4E7" w14:textId="390B6F00" w:rsidR="00D144E0" w:rsidRPr="00B15221" w:rsidRDefault="001E0A73" w:rsidP="00B15221">
      <w:pPr>
        <w:rPr>
          <w:rFonts w:ascii="Tahoma" w:hAnsi="Tahoma" w:cs="Tahoma"/>
          <w:b/>
          <w:bCs/>
        </w:rPr>
      </w:pPr>
      <w:r w:rsidRPr="00B15221">
        <w:rPr>
          <w:rFonts w:ascii="Tahoma" w:hAnsi="Tahoma" w:cs="Tahoma"/>
          <w:b/>
          <w:bCs/>
        </w:rPr>
        <w:t xml:space="preserve">Odgovor Združenja bank na </w:t>
      </w:r>
      <w:r w:rsidR="003A473A" w:rsidRPr="00B15221">
        <w:rPr>
          <w:rFonts w:ascii="Tahoma" w:hAnsi="Tahoma" w:cs="Tahoma"/>
          <w:b/>
          <w:bCs/>
        </w:rPr>
        <w:t>novinarsk</w:t>
      </w:r>
      <w:r w:rsidR="00B15221" w:rsidRPr="00B15221">
        <w:rPr>
          <w:rFonts w:ascii="Tahoma" w:hAnsi="Tahoma" w:cs="Tahoma"/>
          <w:b/>
          <w:bCs/>
        </w:rPr>
        <w:t>o</w:t>
      </w:r>
      <w:r w:rsidR="003A473A" w:rsidRPr="00B15221">
        <w:rPr>
          <w:rFonts w:ascii="Tahoma" w:hAnsi="Tahoma" w:cs="Tahoma"/>
          <w:b/>
          <w:bCs/>
        </w:rPr>
        <w:t xml:space="preserve"> </w:t>
      </w:r>
      <w:r w:rsidRPr="00B15221">
        <w:rPr>
          <w:rFonts w:ascii="Tahoma" w:hAnsi="Tahoma" w:cs="Tahoma"/>
          <w:b/>
          <w:bCs/>
        </w:rPr>
        <w:t>vprašanj</w:t>
      </w:r>
      <w:r w:rsidR="00B15221" w:rsidRPr="00B15221">
        <w:rPr>
          <w:rFonts w:ascii="Tahoma" w:hAnsi="Tahoma" w:cs="Tahoma"/>
          <w:b/>
          <w:bCs/>
        </w:rPr>
        <w:t>e</w:t>
      </w:r>
      <w:r w:rsidR="00BB67CA" w:rsidRPr="00B15221">
        <w:rPr>
          <w:rFonts w:ascii="Tahoma" w:hAnsi="Tahoma" w:cs="Tahoma"/>
          <w:b/>
          <w:bCs/>
        </w:rPr>
        <w:t xml:space="preserve"> </w:t>
      </w:r>
      <w:r w:rsidR="00E0163D" w:rsidRPr="00B15221">
        <w:rPr>
          <w:rFonts w:ascii="Tahoma" w:hAnsi="Tahoma" w:cs="Tahoma"/>
          <w:b/>
          <w:bCs/>
        </w:rPr>
        <w:t xml:space="preserve">glede </w:t>
      </w:r>
      <w:r w:rsidR="006250B5">
        <w:rPr>
          <w:rFonts w:ascii="Tahoma" w:hAnsi="Tahoma" w:cs="Tahoma"/>
          <w:b/>
          <w:bCs/>
        </w:rPr>
        <w:t>kreditiranja</w:t>
      </w:r>
    </w:p>
    <w:p w14:paraId="7798E91C" w14:textId="77777777" w:rsidR="0039339F" w:rsidRPr="00B15221" w:rsidRDefault="0039339F" w:rsidP="00B15221">
      <w:pPr>
        <w:rPr>
          <w:rFonts w:ascii="Tahoma" w:hAnsi="Tahoma" w:cs="Tahoma"/>
          <w:b/>
          <w:bCs/>
          <w:color w:val="000000"/>
        </w:rPr>
      </w:pPr>
    </w:p>
    <w:p w14:paraId="62310A57" w14:textId="77777777" w:rsidR="00B15221" w:rsidRDefault="00B15221" w:rsidP="00B15221">
      <w:pPr>
        <w:rPr>
          <w:rFonts w:ascii="Tahoma" w:hAnsi="Tahoma" w:cs="Tahoma"/>
          <w:b/>
          <w:bCs/>
        </w:rPr>
      </w:pPr>
    </w:p>
    <w:p w14:paraId="2AD25EA7" w14:textId="683F5F1F" w:rsidR="00D002F6" w:rsidRPr="00B15221" w:rsidRDefault="00B15221" w:rsidP="00B15221">
      <w:pPr>
        <w:rPr>
          <w:rFonts w:ascii="Tahoma" w:hAnsi="Tahoma" w:cs="Tahoma"/>
          <w:b/>
          <w:bCs/>
        </w:rPr>
      </w:pPr>
      <w:r w:rsidRPr="00B15221">
        <w:rPr>
          <w:rFonts w:ascii="Tahoma" w:hAnsi="Tahoma" w:cs="Tahoma"/>
          <w:b/>
          <w:bCs/>
        </w:rPr>
        <w:t>Vprašanja:</w:t>
      </w:r>
    </w:p>
    <w:p w14:paraId="5DC95801" w14:textId="36B519D2" w:rsidR="002278C7" w:rsidRPr="00B15221" w:rsidRDefault="002278C7" w:rsidP="00B15221">
      <w:pPr>
        <w:rPr>
          <w:rFonts w:ascii="Tahoma" w:hAnsi="Tahoma" w:cs="Tahoma"/>
          <w:bCs/>
        </w:rPr>
      </w:pPr>
    </w:p>
    <w:p w14:paraId="188863EE" w14:textId="39D8C41F" w:rsidR="00202ABE" w:rsidRPr="00202ABE" w:rsidRDefault="00202ABE" w:rsidP="00202ABE">
      <w:pPr>
        <w:pStyle w:val="NormalWeb"/>
        <w:shd w:val="clear" w:color="auto" w:fill="FFFFFF"/>
        <w:rPr>
          <w:rFonts w:ascii="Tahoma" w:hAnsi="Tahoma" w:cs="Tahoma"/>
          <w:color w:val="000000"/>
          <w:sz w:val="22"/>
          <w:szCs w:val="22"/>
        </w:rPr>
      </w:pPr>
      <w:r w:rsidRPr="00202ABE">
        <w:rPr>
          <w:rFonts w:ascii="Tahoma" w:hAnsi="Tahoma" w:cs="Tahoma"/>
          <w:color w:val="000000"/>
          <w:sz w:val="22"/>
          <w:szCs w:val="22"/>
        </w:rPr>
        <w:t xml:space="preserve">Za Cekin.si pripravljam članek o kreditih. Zanima nas, kakšno je trenutno stanje na področju kreditov. Se dražijo? </w:t>
      </w:r>
      <w:r w:rsidRPr="002D4660">
        <w:rPr>
          <w:rFonts w:ascii="Tahoma" w:hAnsi="Tahoma" w:cs="Tahoma"/>
          <w:color w:val="000000"/>
          <w:sz w:val="22"/>
          <w:szCs w:val="22"/>
        </w:rPr>
        <w:t>Za koliko se denimo to pozna pri kreditu v višini 50.000, 100.000 evrov ali več?</w:t>
      </w:r>
      <w:r w:rsidRPr="00202ABE">
        <w:rPr>
          <w:rFonts w:ascii="Tahoma" w:hAnsi="Tahoma" w:cs="Tahoma"/>
          <w:color w:val="000000"/>
          <w:sz w:val="22"/>
          <w:szCs w:val="22"/>
        </w:rPr>
        <w:t xml:space="preserve"> Ali morda na bankah že zaznavajo težave strank pri odplačevanju mesečnih obrokov posojil? Kakšne rešitve predlagate komintentom, ki se znajdejo v težavah pri odplačevanju? Kako lahko opravijo refinanciranje kredita - na kaj naj bodo pri tem pozorni? Se v tem trenutku splača menjati banko oziroma najeti kredit na kakšni drugi banki?</w:t>
      </w:r>
    </w:p>
    <w:p w14:paraId="7C0D9DBA" w14:textId="4BE8ABE8" w:rsidR="00202ABE" w:rsidRPr="00202ABE" w:rsidRDefault="00202ABE" w:rsidP="00202ABE">
      <w:pPr>
        <w:pStyle w:val="NormalWeb"/>
        <w:shd w:val="clear" w:color="auto" w:fill="FFFFFF"/>
        <w:rPr>
          <w:rFonts w:ascii="Tahoma" w:hAnsi="Tahoma" w:cs="Tahoma"/>
          <w:color w:val="000000"/>
          <w:sz w:val="22"/>
          <w:szCs w:val="22"/>
        </w:rPr>
      </w:pPr>
      <w:r w:rsidRPr="00202ABE">
        <w:rPr>
          <w:rFonts w:ascii="Tahoma" w:hAnsi="Tahoma" w:cs="Tahoma"/>
          <w:color w:val="000000"/>
          <w:sz w:val="22"/>
          <w:szCs w:val="22"/>
        </w:rPr>
        <w:t>Kako ugodni so trenutno krediti za tiste, ki jih šele nameravajo skleniti? Kolikšne so najvišje odplačevalne dobe kreditov, ki jih trenutno ponujajo banke? Pri katerih je še možno skleniti kredit na 30 let odplačevalne dobe?</w:t>
      </w:r>
    </w:p>
    <w:p w14:paraId="1D610C2A" w14:textId="3817CA89" w:rsidR="00202ABE" w:rsidRPr="00202ABE" w:rsidRDefault="00202ABE" w:rsidP="00202ABE">
      <w:pPr>
        <w:pStyle w:val="NormalWeb"/>
        <w:shd w:val="clear" w:color="auto" w:fill="FFFFFF"/>
        <w:rPr>
          <w:rFonts w:ascii="Tahoma" w:hAnsi="Tahoma" w:cs="Tahoma"/>
          <w:color w:val="000000"/>
          <w:sz w:val="22"/>
          <w:szCs w:val="22"/>
        </w:rPr>
      </w:pPr>
      <w:r w:rsidRPr="00202ABE">
        <w:rPr>
          <w:rFonts w:ascii="Tahoma" w:hAnsi="Tahoma" w:cs="Tahoma"/>
          <w:color w:val="000000"/>
          <w:sz w:val="22"/>
          <w:szCs w:val="22"/>
        </w:rPr>
        <w:t>Ali lahko pričakujemo letos še dodatno zvišanje obrestnih mer?</w:t>
      </w:r>
    </w:p>
    <w:p w14:paraId="6F4A3F06" w14:textId="03C1A8CA" w:rsidR="00202ABE" w:rsidRPr="00202ABE" w:rsidRDefault="00202ABE" w:rsidP="00202ABE">
      <w:pPr>
        <w:pStyle w:val="NormalWeb"/>
        <w:shd w:val="clear" w:color="auto" w:fill="FFFFFF"/>
        <w:rPr>
          <w:rFonts w:ascii="Tahoma" w:hAnsi="Tahoma" w:cs="Tahoma"/>
          <w:color w:val="000000"/>
          <w:sz w:val="22"/>
          <w:szCs w:val="22"/>
        </w:rPr>
      </w:pPr>
      <w:r w:rsidRPr="00202ABE">
        <w:rPr>
          <w:rFonts w:ascii="Tahoma" w:hAnsi="Tahoma" w:cs="Tahoma"/>
          <w:color w:val="000000"/>
          <w:sz w:val="22"/>
          <w:szCs w:val="22"/>
        </w:rPr>
        <w:t>Kdaj lahko kreditojemalci pričakujejo višji obrok za kredit (če ga še niso)?</w:t>
      </w:r>
    </w:p>
    <w:p w14:paraId="319EEBD6" w14:textId="3774F7A5" w:rsidR="00202ABE" w:rsidRPr="00202ABE" w:rsidRDefault="00202ABE" w:rsidP="00202ABE">
      <w:pPr>
        <w:pStyle w:val="NormalWeb"/>
        <w:shd w:val="clear" w:color="auto" w:fill="FFFFFF"/>
        <w:rPr>
          <w:rFonts w:ascii="Tahoma" w:hAnsi="Tahoma" w:cs="Tahoma"/>
          <w:color w:val="000000"/>
          <w:sz w:val="22"/>
          <w:szCs w:val="22"/>
        </w:rPr>
      </w:pPr>
      <w:r w:rsidRPr="00202ABE">
        <w:rPr>
          <w:rFonts w:ascii="Tahoma" w:hAnsi="Tahoma" w:cs="Tahoma"/>
          <w:color w:val="000000"/>
          <w:sz w:val="22"/>
          <w:szCs w:val="22"/>
        </w:rPr>
        <w:t>Kakšno je trenutno povpraševanje po kreditih in po katerih vrstah kreditov?</w:t>
      </w:r>
    </w:p>
    <w:p w14:paraId="38CA3B85" w14:textId="77777777" w:rsidR="00202ABE" w:rsidRPr="00202ABE" w:rsidRDefault="00202ABE" w:rsidP="00202ABE">
      <w:pPr>
        <w:pStyle w:val="NormalWeb"/>
        <w:shd w:val="clear" w:color="auto" w:fill="FFFFFF"/>
        <w:rPr>
          <w:rFonts w:ascii="Tahoma" w:hAnsi="Tahoma" w:cs="Tahoma"/>
          <w:color w:val="000000"/>
          <w:sz w:val="22"/>
          <w:szCs w:val="22"/>
        </w:rPr>
      </w:pPr>
      <w:r w:rsidRPr="00202ABE">
        <w:rPr>
          <w:rFonts w:ascii="Tahoma" w:hAnsi="Tahoma" w:cs="Tahoma"/>
          <w:color w:val="000000"/>
          <w:sz w:val="22"/>
          <w:szCs w:val="22"/>
        </w:rPr>
        <w:t>Ali drži, da naj bi se polovici posojilojemalcem stanovanjskih kreditov v zadnjih mesecih povečal mesečni obrok? Za koliko v povprečju?</w:t>
      </w:r>
    </w:p>
    <w:p w14:paraId="29FCC7FD" w14:textId="6190F2E0" w:rsidR="00E353E4" w:rsidRPr="00B15221" w:rsidRDefault="00E353E4" w:rsidP="00B15221">
      <w:pPr>
        <w:rPr>
          <w:rFonts w:ascii="Tahoma" w:eastAsia="Times New Roman" w:hAnsi="Tahoma" w:cs="Tahoma"/>
          <w:color w:val="000000"/>
        </w:rPr>
      </w:pPr>
    </w:p>
    <w:p w14:paraId="74FA0610" w14:textId="77777777" w:rsidR="00B8298F" w:rsidRPr="00B15221" w:rsidRDefault="00B8298F" w:rsidP="00B15221">
      <w:pPr>
        <w:rPr>
          <w:rFonts w:ascii="Tahoma" w:hAnsi="Tahoma" w:cs="Tahoma"/>
        </w:rPr>
      </w:pPr>
    </w:p>
    <w:p w14:paraId="2C8B8F0C" w14:textId="1D4D3981" w:rsidR="00EB0D8F" w:rsidRDefault="00E353E4" w:rsidP="00B15221">
      <w:pPr>
        <w:rPr>
          <w:rFonts w:ascii="Tahoma" w:eastAsia="Times New Roman" w:hAnsi="Tahoma" w:cs="Tahoma"/>
          <w:b/>
          <w:color w:val="000000"/>
        </w:rPr>
      </w:pPr>
      <w:r w:rsidRPr="00B15221">
        <w:rPr>
          <w:rFonts w:ascii="Tahoma" w:eastAsia="Times New Roman" w:hAnsi="Tahoma" w:cs="Tahoma"/>
          <w:b/>
          <w:color w:val="000000"/>
        </w:rPr>
        <w:t>Odgovor</w:t>
      </w:r>
      <w:r w:rsidR="00202ABE">
        <w:rPr>
          <w:rFonts w:ascii="Tahoma" w:eastAsia="Times New Roman" w:hAnsi="Tahoma" w:cs="Tahoma"/>
          <w:b/>
          <w:color w:val="000000"/>
        </w:rPr>
        <w:t>i</w:t>
      </w:r>
      <w:r w:rsidRPr="00B15221">
        <w:rPr>
          <w:rFonts w:ascii="Tahoma" w:eastAsia="Times New Roman" w:hAnsi="Tahoma" w:cs="Tahoma"/>
          <w:b/>
          <w:color w:val="000000"/>
        </w:rPr>
        <w:t xml:space="preserve"> ZBS:</w:t>
      </w:r>
    </w:p>
    <w:p w14:paraId="0F91D259" w14:textId="13B47A83" w:rsidR="00B15221" w:rsidRPr="00B15221" w:rsidRDefault="00B15221" w:rsidP="00B15221">
      <w:pPr>
        <w:rPr>
          <w:rFonts w:ascii="Tahoma" w:eastAsia="Times New Roman" w:hAnsi="Tahoma" w:cs="Tahoma"/>
          <w:b/>
          <w:color w:val="000000"/>
        </w:rPr>
      </w:pPr>
    </w:p>
    <w:p w14:paraId="716186BC" w14:textId="6846536B" w:rsidR="00C32270" w:rsidRPr="008B34FE" w:rsidRDefault="00C32270" w:rsidP="00002162">
      <w:pPr>
        <w:pStyle w:val="NormalWeb"/>
        <w:shd w:val="clear" w:color="auto" w:fill="FFFFFF"/>
        <w:jc w:val="both"/>
        <w:rPr>
          <w:rFonts w:ascii="Tahoma" w:hAnsi="Tahoma" w:cs="Tahoma"/>
          <w:color w:val="000000"/>
          <w:sz w:val="22"/>
          <w:szCs w:val="22"/>
        </w:rPr>
      </w:pPr>
      <w:r w:rsidRPr="008B34FE">
        <w:rPr>
          <w:rFonts w:ascii="Tahoma" w:hAnsi="Tahoma" w:cs="Tahoma"/>
          <w:color w:val="000000"/>
          <w:sz w:val="22"/>
          <w:szCs w:val="22"/>
        </w:rPr>
        <w:t>Združenje bank Slovenije – GIZ, Ljubljana je gospodarsko interesno združenje, ki deluje za interese svojih članic. Združenje podatkov o poslovnih ponudbah bank in hranilnic (v nadaljevanju bank) ter podatkov, vezanih na kreditni portfelj ne zbira, zato predlagamo, da se zanje obrnete na posamezne banke oz. hranilnice ali na Banko Slovenije, ki zbira nekatere podatke, po katerih sprašujete</w:t>
      </w:r>
      <w:r w:rsidR="007F7A6B" w:rsidRPr="008B34FE">
        <w:rPr>
          <w:rFonts w:ascii="Tahoma" w:hAnsi="Tahoma" w:cs="Tahoma"/>
          <w:color w:val="000000"/>
          <w:sz w:val="22"/>
          <w:szCs w:val="22"/>
        </w:rPr>
        <w:t>,</w:t>
      </w:r>
      <w:r w:rsidRPr="008B34FE">
        <w:rPr>
          <w:rFonts w:ascii="Tahoma" w:hAnsi="Tahoma" w:cs="Tahoma"/>
          <w:color w:val="000000"/>
          <w:sz w:val="22"/>
          <w:szCs w:val="22"/>
        </w:rPr>
        <w:t xml:space="preserve"> na ravni bančnega sistema.</w:t>
      </w:r>
    </w:p>
    <w:p w14:paraId="29B792D5" w14:textId="04E557B7" w:rsidR="00E353E4" w:rsidRDefault="0084597C" w:rsidP="00002162">
      <w:pPr>
        <w:pStyle w:val="NormalWeb"/>
        <w:shd w:val="clear" w:color="auto" w:fill="FFFFFF"/>
        <w:jc w:val="both"/>
        <w:rPr>
          <w:rFonts w:ascii="Tahoma" w:hAnsi="Tahoma" w:cs="Tahoma"/>
          <w:color w:val="000000"/>
          <w:sz w:val="22"/>
          <w:szCs w:val="22"/>
        </w:rPr>
      </w:pPr>
      <w:r w:rsidRPr="008B34FE">
        <w:rPr>
          <w:rFonts w:ascii="Tahoma" w:hAnsi="Tahoma" w:cs="Tahoma"/>
          <w:color w:val="000000"/>
          <w:sz w:val="22"/>
          <w:szCs w:val="22"/>
        </w:rPr>
        <w:t xml:space="preserve">Obrestna mera za kredit s spremenljivo obrestno mero je sestavljena iz referenčne obrestne mere EURIBOR in </w:t>
      </w:r>
      <w:r w:rsidR="009F4553">
        <w:rPr>
          <w:rFonts w:ascii="Tahoma" w:hAnsi="Tahoma" w:cs="Tahoma"/>
          <w:color w:val="000000"/>
          <w:sz w:val="22"/>
          <w:szCs w:val="22"/>
        </w:rPr>
        <w:t xml:space="preserve">fiksnega </w:t>
      </w:r>
      <w:r w:rsidRPr="008B34FE">
        <w:rPr>
          <w:rFonts w:ascii="Tahoma" w:hAnsi="Tahoma" w:cs="Tahoma"/>
          <w:color w:val="000000"/>
          <w:sz w:val="22"/>
          <w:szCs w:val="22"/>
        </w:rPr>
        <w:t>pribitka.</w:t>
      </w:r>
      <w:r w:rsidR="00F94E78" w:rsidRPr="008B34FE">
        <w:rPr>
          <w:rFonts w:ascii="Tahoma" w:hAnsi="Tahoma" w:cs="Tahoma"/>
          <w:color w:val="000000"/>
          <w:sz w:val="22"/>
          <w:szCs w:val="22"/>
        </w:rPr>
        <w:t xml:space="preserve"> 6</w:t>
      </w:r>
      <w:r w:rsidR="002F43F0" w:rsidRPr="008B34FE">
        <w:rPr>
          <w:rFonts w:ascii="Tahoma" w:hAnsi="Tahoma" w:cs="Tahoma"/>
          <w:color w:val="000000"/>
          <w:sz w:val="22"/>
          <w:szCs w:val="22"/>
        </w:rPr>
        <w:t>-</w:t>
      </w:r>
      <w:r w:rsidR="00F94E78" w:rsidRPr="008B34FE">
        <w:rPr>
          <w:rFonts w:ascii="Tahoma" w:hAnsi="Tahoma" w:cs="Tahoma"/>
          <w:color w:val="000000"/>
          <w:sz w:val="22"/>
          <w:szCs w:val="22"/>
        </w:rPr>
        <w:t xml:space="preserve">mesečni EURIBOR na </w:t>
      </w:r>
      <w:r w:rsidR="00C32270" w:rsidRPr="008B34FE">
        <w:rPr>
          <w:rFonts w:ascii="Tahoma" w:hAnsi="Tahoma" w:cs="Tahoma"/>
          <w:color w:val="000000"/>
          <w:sz w:val="22"/>
          <w:szCs w:val="22"/>
        </w:rPr>
        <w:t>dan 5. 9. 2022</w:t>
      </w:r>
      <w:r w:rsidR="00F94E78" w:rsidRPr="008B34FE">
        <w:rPr>
          <w:rFonts w:ascii="Tahoma" w:hAnsi="Tahoma" w:cs="Tahoma"/>
          <w:color w:val="000000"/>
          <w:sz w:val="22"/>
          <w:szCs w:val="22"/>
        </w:rPr>
        <w:t xml:space="preserve"> znaša 1.298 %.</w:t>
      </w:r>
      <w:r w:rsidRPr="008B34FE">
        <w:rPr>
          <w:rFonts w:ascii="Tahoma" w:hAnsi="Tahoma" w:cs="Tahoma"/>
          <w:color w:val="000000"/>
          <w:sz w:val="22"/>
          <w:szCs w:val="22"/>
        </w:rPr>
        <w:t xml:space="preserve"> </w:t>
      </w:r>
      <w:r w:rsidR="001C70C1" w:rsidRPr="008B34FE">
        <w:rPr>
          <w:rFonts w:ascii="Tahoma" w:hAnsi="Tahoma" w:cs="Tahoma"/>
          <w:color w:val="000000"/>
          <w:sz w:val="22"/>
          <w:szCs w:val="22"/>
        </w:rPr>
        <w:t>Višji obroki kreditov</w:t>
      </w:r>
      <w:r w:rsidR="00F94E78" w:rsidRPr="008B34FE">
        <w:rPr>
          <w:rFonts w:ascii="Tahoma" w:hAnsi="Tahoma" w:cs="Tahoma"/>
          <w:color w:val="000000"/>
          <w:sz w:val="22"/>
          <w:szCs w:val="22"/>
        </w:rPr>
        <w:t xml:space="preserve"> pri </w:t>
      </w:r>
      <w:r w:rsidR="00C32270" w:rsidRPr="008B34FE">
        <w:rPr>
          <w:rFonts w:ascii="Tahoma" w:hAnsi="Tahoma" w:cs="Tahoma"/>
          <w:color w:val="000000"/>
          <w:sz w:val="22"/>
          <w:szCs w:val="22"/>
        </w:rPr>
        <w:t>komitentih</w:t>
      </w:r>
      <w:r w:rsidR="00F94E78" w:rsidRPr="008B34FE">
        <w:rPr>
          <w:rFonts w:ascii="Tahoma" w:hAnsi="Tahoma" w:cs="Tahoma"/>
          <w:color w:val="000000"/>
          <w:sz w:val="22"/>
          <w:szCs w:val="22"/>
        </w:rPr>
        <w:t>, ki jih imajo s spremenljivo o</w:t>
      </w:r>
      <w:r w:rsidR="005B491A" w:rsidRPr="008B34FE">
        <w:rPr>
          <w:rFonts w:ascii="Tahoma" w:hAnsi="Tahoma" w:cs="Tahoma"/>
          <w:color w:val="000000"/>
          <w:sz w:val="22"/>
          <w:szCs w:val="22"/>
        </w:rPr>
        <w:t>b</w:t>
      </w:r>
      <w:r w:rsidR="00F94E78" w:rsidRPr="008B34FE">
        <w:rPr>
          <w:rFonts w:ascii="Tahoma" w:hAnsi="Tahoma" w:cs="Tahoma"/>
          <w:color w:val="000000"/>
          <w:sz w:val="22"/>
          <w:szCs w:val="22"/>
        </w:rPr>
        <w:t>restno mero</w:t>
      </w:r>
      <w:r w:rsidR="001C70C1" w:rsidRPr="008B34FE">
        <w:rPr>
          <w:rFonts w:ascii="Tahoma" w:hAnsi="Tahoma" w:cs="Tahoma"/>
          <w:color w:val="000000"/>
          <w:sz w:val="22"/>
          <w:szCs w:val="22"/>
        </w:rPr>
        <w:t xml:space="preserve"> so posledica</w:t>
      </w:r>
      <w:r w:rsidRPr="008B34FE">
        <w:rPr>
          <w:rFonts w:ascii="Tahoma" w:hAnsi="Tahoma" w:cs="Tahoma"/>
          <w:color w:val="000000"/>
          <w:sz w:val="22"/>
          <w:szCs w:val="22"/>
        </w:rPr>
        <w:t xml:space="preserve"> dviga EURIBOR-ja</w:t>
      </w:r>
      <w:r w:rsidR="00C6237F">
        <w:rPr>
          <w:rFonts w:ascii="Tahoma" w:hAnsi="Tahoma" w:cs="Tahoma"/>
          <w:color w:val="000000"/>
          <w:sz w:val="22"/>
          <w:szCs w:val="22"/>
        </w:rPr>
        <w:t xml:space="preserve"> od pomladi dalje.</w:t>
      </w:r>
    </w:p>
    <w:p w14:paraId="22A1E79E" w14:textId="77777777" w:rsidR="00352945" w:rsidRDefault="00352945" w:rsidP="008B34FE">
      <w:pPr>
        <w:pStyle w:val="NormalWeb"/>
        <w:shd w:val="clear" w:color="auto" w:fill="FFFFFF"/>
        <w:rPr>
          <w:rFonts w:ascii="Tahoma" w:hAnsi="Tahoma" w:cs="Tahoma"/>
          <w:color w:val="000000"/>
          <w:sz w:val="22"/>
          <w:szCs w:val="22"/>
        </w:rPr>
      </w:pPr>
    </w:p>
    <w:p w14:paraId="6F5181EA" w14:textId="77777777" w:rsidR="00352945" w:rsidRDefault="00352945" w:rsidP="008B34FE">
      <w:pPr>
        <w:pStyle w:val="NormalWeb"/>
        <w:shd w:val="clear" w:color="auto" w:fill="FFFFFF"/>
        <w:rPr>
          <w:rFonts w:ascii="Tahoma" w:hAnsi="Tahoma" w:cs="Tahoma"/>
          <w:color w:val="000000"/>
          <w:sz w:val="22"/>
          <w:szCs w:val="22"/>
        </w:rPr>
      </w:pPr>
    </w:p>
    <w:p w14:paraId="40FBCC9D" w14:textId="383F4BF3" w:rsidR="00352945" w:rsidRDefault="00352945" w:rsidP="008B34FE">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Primeri izračunov spremembe anuitete zaradi dviga EURIBOR-ja:</w:t>
      </w:r>
    </w:p>
    <w:tbl>
      <w:tblPr>
        <w:tblStyle w:val="TableGrid"/>
        <w:tblW w:w="9067" w:type="dxa"/>
        <w:tblLook w:val="04A0" w:firstRow="1" w:lastRow="0" w:firstColumn="1" w:lastColumn="0" w:noHBand="0" w:noVBand="1"/>
      </w:tblPr>
      <w:tblGrid>
        <w:gridCol w:w="2266"/>
        <w:gridCol w:w="2267"/>
        <w:gridCol w:w="2267"/>
        <w:gridCol w:w="2267"/>
      </w:tblGrid>
      <w:tr w:rsidR="00352945" w:rsidRPr="00352945" w14:paraId="13A1CDFC" w14:textId="77777777" w:rsidTr="00C807EE">
        <w:trPr>
          <w:trHeight w:val="290"/>
        </w:trPr>
        <w:tc>
          <w:tcPr>
            <w:tcW w:w="2266" w:type="dxa"/>
            <w:noWrap/>
            <w:hideMark/>
          </w:tcPr>
          <w:p w14:paraId="52A548FB" w14:textId="1B925362" w:rsidR="00352945" w:rsidRPr="00352945" w:rsidRDefault="00352945" w:rsidP="00A36B3A">
            <w:pPr>
              <w:pStyle w:val="NormalWeb"/>
              <w:rPr>
                <w:rFonts w:ascii="Tahoma" w:hAnsi="Tahoma" w:cs="Tahoma"/>
                <w:b/>
                <w:bCs/>
                <w:color w:val="000000"/>
                <w:sz w:val="22"/>
                <w:szCs w:val="22"/>
              </w:rPr>
            </w:pPr>
            <w:r w:rsidRPr="00C807EE">
              <w:rPr>
                <w:rFonts w:ascii="Tahoma" w:hAnsi="Tahoma" w:cs="Tahoma"/>
                <w:b/>
                <w:bCs/>
                <w:color w:val="000000"/>
                <w:sz w:val="22"/>
                <w:szCs w:val="22"/>
              </w:rPr>
              <w:t>Z</w:t>
            </w:r>
            <w:r w:rsidRPr="00352945">
              <w:rPr>
                <w:rFonts w:ascii="Tahoma" w:hAnsi="Tahoma" w:cs="Tahoma"/>
                <w:b/>
                <w:bCs/>
                <w:color w:val="000000"/>
                <w:sz w:val="22"/>
                <w:szCs w:val="22"/>
              </w:rPr>
              <w:t>nesek kredita:</w:t>
            </w:r>
          </w:p>
        </w:tc>
        <w:tc>
          <w:tcPr>
            <w:tcW w:w="2267" w:type="dxa"/>
            <w:noWrap/>
            <w:hideMark/>
          </w:tcPr>
          <w:p w14:paraId="29ED95E2" w14:textId="77777777" w:rsidR="00352945" w:rsidRPr="00352945" w:rsidRDefault="00352945" w:rsidP="000C1B33">
            <w:pPr>
              <w:pStyle w:val="NormalWeb"/>
              <w:jc w:val="right"/>
              <w:rPr>
                <w:rFonts w:ascii="Tahoma" w:hAnsi="Tahoma" w:cs="Tahoma"/>
                <w:b/>
                <w:bCs/>
                <w:color w:val="000000"/>
                <w:sz w:val="22"/>
                <w:szCs w:val="22"/>
              </w:rPr>
            </w:pPr>
            <w:r w:rsidRPr="00352945">
              <w:rPr>
                <w:rFonts w:ascii="Tahoma" w:hAnsi="Tahoma" w:cs="Tahoma"/>
                <w:b/>
                <w:bCs/>
                <w:color w:val="000000"/>
                <w:sz w:val="22"/>
                <w:szCs w:val="22"/>
              </w:rPr>
              <w:t xml:space="preserve">€50.000,00 </w:t>
            </w:r>
          </w:p>
        </w:tc>
        <w:tc>
          <w:tcPr>
            <w:tcW w:w="2267" w:type="dxa"/>
            <w:noWrap/>
            <w:hideMark/>
          </w:tcPr>
          <w:p w14:paraId="1A9BCAA2" w14:textId="77777777" w:rsidR="00352945" w:rsidRPr="00352945" w:rsidRDefault="00352945" w:rsidP="000C1B33">
            <w:pPr>
              <w:pStyle w:val="NormalWeb"/>
              <w:jc w:val="right"/>
              <w:rPr>
                <w:rFonts w:ascii="Tahoma" w:hAnsi="Tahoma" w:cs="Tahoma"/>
                <w:b/>
                <w:bCs/>
                <w:color w:val="000000"/>
                <w:sz w:val="22"/>
                <w:szCs w:val="22"/>
              </w:rPr>
            </w:pPr>
            <w:r w:rsidRPr="00352945">
              <w:rPr>
                <w:rFonts w:ascii="Tahoma" w:hAnsi="Tahoma" w:cs="Tahoma"/>
                <w:b/>
                <w:bCs/>
                <w:color w:val="000000"/>
                <w:sz w:val="22"/>
                <w:szCs w:val="22"/>
              </w:rPr>
              <w:t xml:space="preserve">€50.000,00 </w:t>
            </w:r>
          </w:p>
        </w:tc>
        <w:tc>
          <w:tcPr>
            <w:tcW w:w="2267" w:type="dxa"/>
            <w:noWrap/>
            <w:hideMark/>
          </w:tcPr>
          <w:p w14:paraId="65B95FEC" w14:textId="0FF0EE98" w:rsidR="00352945" w:rsidRPr="00352945" w:rsidRDefault="00352945" w:rsidP="000C1B33">
            <w:pPr>
              <w:pStyle w:val="NormalWeb"/>
              <w:jc w:val="right"/>
              <w:rPr>
                <w:rFonts w:ascii="Tahoma" w:hAnsi="Tahoma" w:cs="Tahoma"/>
                <w:b/>
                <w:bCs/>
                <w:color w:val="000000"/>
                <w:sz w:val="22"/>
                <w:szCs w:val="22"/>
              </w:rPr>
            </w:pPr>
            <w:r w:rsidRPr="00C807EE">
              <w:rPr>
                <w:rFonts w:ascii="Tahoma" w:hAnsi="Tahoma" w:cs="Tahoma"/>
                <w:b/>
                <w:bCs/>
                <w:color w:val="000000"/>
                <w:sz w:val="22"/>
                <w:szCs w:val="22"/>
              </w:rPr>
              <w:t>Razlika v višini anuitete</w:t>
            </w:r>
          </w:p>
        </w:tc>
      </w:tr>
      <w:tr w:rsidR="00352945" w:rsidRPr="00352945" w14:paraId="317953DD" w14:textId="77777777" w:rsidTr="00C807EE">
        <w:trPr>
          <w:trHeight w:val="290"/>
        </w:trPr>
        <w:tc>
          <w:tcPr>
            <w:tcW w:w="2266" w:type="dxa"/>
            <w:noWrap/>
            <w:hideMark/>
          </w:tcPr>
          <w:p w14:paraId="4167E994" w14:textId="5A7A5CD0" w:rsidR="00352945" w:rsidRPr="00352945" w:rsidRDefault="00352945" w:rsidP="00A36B3A">
            <w:pPr>
              <w:pStyle w:val="NormalWeb"/>
              <w:rPr>
                <w:rFonts w:ascii="Tahoma" w:hAnsi="Tahoma" w:cs="Tahoma"/>
                <w:b/>
                <w:bCs/>
                <w:color w:val="000000"/>
                <w:sz w:val="22"/>
                <w:szCs w:val="22"/>
              </w:rPr>
            </w:pPr>
            <w:r w:rsidRPr="00C807EE">
              <w:rPr>
                <w:rFonts w:ascii="Tahoma" w:hAnsi="Tahoma" w:cs="Tahoma"/>
                <w:b/>
                <w:bCs/>
                <w:color w:val="000000"/>
                <w:sz w:val="22"/>
                <w:szCs w:val="22"/>
              </w:rPr>
              <w:t>O</w:t>
            </w:r>
            <w:r w:rsidRPr="00352945">
              <w:rPr>
                <w:rFonts w:ascii="Tahoma" w:hAnsi="Tahoma" w:cs="Tahoma"/>
                <w:b/>
                <w:bCs/>
                <w:color w:val="000000"/>
                <w:sz w:val="22"/>
                <w:szCs w:val="22"/>
              </w:rPr>
              <w:t>bdobje odplačevanja</w:t>
            </w:r>
            <w:r w:rsidRPr="00C807EE">
              <w:rPr>
                <w:rFonts w:ascii="Tahoma" w:hAnsi="Tahoma" w:cs="Tahoma"/>
                <w:b/>
                <w:bCs/>
                <w:color w:val="000000"/>
                <w:sz w:val="22"/>
                <w:szCs w:val="22"/>
              </w:rPr>
              <w:t xml:space="preserve"> 20 let</w:t>
            </w:r>
          </w:p>
        </w:tc>
        <w:tc>
          <w:tcPr>
            <w:tcW w:w="2267" w:type="dxa"/>
            <w:noWrap/>
            <w:hideMark/>
          </w:tcPr>
          <w:p w14:paraId="4A78B2F9" w14:textId="77777777" w:rsidR="00352945" w:rsidRPr="00352945" w:rsidRDefault="00352945" w:rsidP="000C1B33">
            <w:pPr>
              <w:pStyle w:val="NormalWeb"/>
              <w:jc w:val="right"/>
              <w:rPr>
                <w:rFonts w:ascii="Tahoma" w:hAnsi="Tahoma" w:cs="Tahoma"/>
                <w:b/>
                <w:bCs/>
                <w:color w:val="000000"/>
                <w:sz w:val="22"/>
                <w:szCs w:val="22"/>
              </w:rPr>
            </w:pPr>
            <w:r w:rsidRPr="00352945">
              <w:rPr>
                <w:rFonts w:ascii="Tahoma" w:hAnsi="Tahoma" w:cs="Tahoma"/>
                <w:b/>
                <w:bCs/>
                <w:color w:val="000000"/>
                <w:sz w:val="22"/>
                <w:szCs w:val="22"/>
              </w:rPr>
              <w:t>240 mesecev</w:t>
            </w:r>
          </w:p>
        </w:tc>
        <w:tc>
          <w:tcPr>
            <w:tcW w:w="2267" w:type="dxa"/>
            <w:noWrap/>
            <w:hideMark/>
          </w:tcPr>
          <w:p w14:paraId="1376DCFE" w14:textId="77777777" w:rsidR="00352945" w:rsidRPr="00352945" w:rsidRDefault="00352945" w:rsidP="000C1B33">
            <w:pPr>
              <w:pStyle w:val="NormalWeb"/>
              <w:jc w:val="right"/>
              <w:rPr>
                <w:rFonts w:ascii="Tahoma" w:hAnsi="Tahoma" w:cs="Tahoma"/>
                <w:b/>
                <w:bCs/>
                <w:color w:val="000000"/>
                <w:sz w:val="22"/>
                <w:szCs w:val="22"/>
              </w:rPr>
            </w:pPr>
            <w:r w:rsidRPr="00352945">
              <w:rPr>
                <w:rFonts w:ascii="Tahoma" w:hAnsi="Tahoma" w:cs="Tahoma"/>
                <w:b/>
                <w:bCs/>
                <w:color w:val="000000"/>
                <w:sz w:val="22"/>
                <w:szCs w:val="22"/>
              </w:rPr>
              <w:t>240 mesecev</w:t>
            </w:r>
          </w:p>
        </w:tc>
        <w:tc>
          <w:tcPr>
            <w:tcW w:w="2267" w:type="dxa"/>
            <w:noWrap/>
            <w:hideMark/>
          </w:tcPr>
          <w:p w14:paraId="5208AA47" w14:textId="28FDE7DB" w:rsidR="00352945" w:rsidRPr="00352945" w:rsidRDefault="00352945" w:rsidP="000C1B33">
            <w:pPr>
              <w:pStyle w:val="NormalWeb"/>
              <w:jc w:val="right"/>
              <w:rPr>
                <w:rFonts w:ascii="Tahoma" w:hAnsi="Tahoma" w:cs="Tahoma"/>
                <w:b/>
                <w:bCs/>
                <w:color w:val="000000"/>
                <w:sz w:val="22"/>
                <w:szCs w:val="22"/>
              </w:rPr>
            </w:pPr>
          </w:p>
        </w:tc>
      </w:tr>
      <w:tr w:rsidR="00352945" w:rsidRPr="00352945" w14:paraId="734D66B8" w14:textId="77777777" w:rsidTr="00C807EE">
        <w:trPr>
          <w:trHeight w:val="290"/>
        </w:trPr>
        <w:tc>
          <w:tcPr>
            <w:tcW w:w="2266" w:type="dxa"/>
            <w:noWrap/>
            <w:hideMark/>
          </w:tcPr>
          <w:p w14:paraId="1693189C" w14:textId="02E0CA39" w:rsidR="00352945" w:rsidRPr="00352945" w:rsidRDefault="00352945" w:rsidP="00A36B3A">
            <w:pPr>
              <w:pStyle w:val="NormalWeb"/>
              <w:rPr>
                <w:rFonts w:ascii="Tahoma" w:hAnsi="Tahoma" w:cs="Tahoma"/>
                <w:color w:val="000000"/>
                <w:sz w:val="22"/>
                <w:szCs w:val="22"/>
              </w:rPr>
            </w:pPr>
            <w:r w:rsidRPr="00A36B3A">
              <w:rPr>
                <w:rFonts w:ascii="Tahoma" w:hAnsi="Tahoma" w:cs="Tahoma"/>
                <w:color w:val="000000"/>
                <w:sz w:val="22"/>
                <w:szCs w:val="22"/>
              </w:rPr>
              <w:t>F</w:t>
            </w:r>
            <w:r w:rsidRPr="00352945">
              <w:rPr>
                <w:rFonts w:ascii="Tahoma" w:hAnsi="Tahoma" w:cs="Tahoma"/>
                <w:color w:val="000000"/>
                <w:sz w:val="22"/>
                <w:szCs w:val="22"/>
              </w:rPr>
              <w:t>iksni pribitek v variabilni obrestni meri:</w:t>
            </w:r>
          </w:p>
        </w:tc>
        <w:tc>
          <w:tcPr>
            <w:tcW w:w="2267" w:type="dxa"/>
            <w:noWrap/>
            <w:hideMark/>
          </w:tcPr>
          <w:p w14:paraId="2423CB8D" w14:textId="77777777" w:rsidR="00352945" w:rsidRPr="00352945" w:rsidRDefault="00352945" w:rsidP="000C1B33">
            <w:pPr>
              <w:pStyle w:val="NormalWeb"/>
              <w:jc w:val="right"/>
              <w:rPr>
                <w:rFonts w:ascii="Tahoma" w:hAnsi="Tahoma" w:cs="Tahoma"/>
                <w:color w:val="000000"/>
                <w:sz w:val="22"/>
                <w:szCs w:val="22"/>
              </w:rPr>
            </w:pPr>
            <w:r w:rsidRPr="00352945">
              <w:rPr>
                <w:rFonts w:ascii="Tahoma" w:hAnsi="Tahoma" w:cs="Tahoma"/>
                <w:color w:val="000000"/>
                <w:sz w:val="22"/>
                <w:szCs w:val="22"/>
              </w:rPr>
              <w:t>1,60%</w:t>
            </w:r>
          </w:p>
        </w:tc>
        <w:tc>
          <w:tcPr>
            <w:tcW w:w="2267" w:type="dxa"/>
            <w:noWrap/>
            <w:hideMark/>
          </w:tcPr>
          <w:p w14:paraId="0C44A084" w14:textId="77777777" w:rsidR="00352945" w:rsidRPr="00352945" w:rsidRDefault="00352945" w:rsidP="000C1B33">
            <w:pPr>
              <w:pStyle w:val="NormalWeb"/>
              <w:jc w:val="right"/>
              <w:rPr>
                <w:rFonts w:ascii="Tahoma" w:hAnsi="Tahoma" w:cs="Tahoma"/>
                <w:color w:val="000000"/>
                <w:sz w:val="22"/>
                <w:szCs w:val="22"/>
              </w:rPr>
            </w:pPr>
            <w:r w:rsidRPr="00352945">
              <w:rPr>
                <w:rFonts w:ascii="Tahoma" w:hAnsi="Tahoma" w:cs="Tahoma"/>
                <w:color w:val="000000"/>
                <w:sz w:val="22"/>
                <w:szCs w:val="22"/>
              </w:rPr>
              <w:t>1,60%</w:t>
            </w:r>
          </w:p>
        </w:tc>
        <w:tc>
          <w:tcPr>
            <w:tcW w:w="2267" w:type="dxa"/>
            <w:noWrap/>
            <w:hideMark/>
          </w:tcPr>
          <w:p w14:paraId="3FCE9596" w14:textId="77777777" w:rsidR="00352945" w:rsidRPr="00352945" w:rsidRDefault="00352945" w:rsidP="000C1B33">
            <w:pPr>
              <w:pStyle w:val="NormalWeb"/>
              <w:jc w:val="right"/>
              <w:rPr>
                <w:rFonts w:ascii="Tahoma" w:hAnsi="Tahoma" w:cs="Tahoma"/>
                <w:color w:val="000000"/>
                <w:sz w:val="22"/>
                <w:szCs w:val="22"/>
              </w:rPr>
            </w:pPr>
          </w:p>
        </w:tc>
      </w:tr>
      <w:tr w:rsidR="00352945" w:rsidRPr="00352945" w14:paraId="1EAFC409" w14:textId="77777777" w:rsidTr="00C807EE">
        <w:trPr>
          <w:trHeight w:val="290"/>
        </w:trPr>
        <w:tc>
          <w:tcPr>
            <w:tcW w:w="2266" w:type="dxa"/>
            <w:noWrap/>
            <w:hideMark/>
          </w:tcPr>
          <w:p w14:paraId="7B6A88C4" w14:textId="77777777" w:rsidR="00352945" w:rsidRPr="00352945" w:rsidRDefault="00352945" w:rsidP="00A36B3A">
            <w:pPr>
              <w:pStyle w:val="NormalWeb"/>
              <w:rPr>
                <w:rFonts w:ascii="Tahoma" w:hAnsi="Tahoma" w:cs="Tahoma"/>
                <w:color w:val="000000"/>
                <w:sz w:val="22"/>
                <w:szCs w:val="22"/>
              </w:rPr>
            </w:pPr>
            <w:r w:rsidRPr="00352945">
              <w:rPr>
                <w:rFonts w:ascii="Tahoma" w:hAnsi="Tahoma" w:cs="Tahoma"/>
                <w:color w:val="000000"/>
                <w:sz w:val="22"/>
                <w:szCs w:val="22"/>
              </w:rPr>
              <w:t>6m EURIBOR</w:t>
            </w:r>
          </w:p>
        </w:tc>
        <w:tc>
          <w:tcPr>
            <w:tcW w:w="2267" w:type="dxa"/>
            <w:noWrap/>
            <w:hideMark/>
          </w:tcPr>
          <w:p w14:paraId="410DC502" w14:textId="77777777" w:rsidR="00352945" w:rsidRPr="00352945" w:rsidRDefault="00352945" w:rsidP="000C1B33">
            <w:pPr>
              <w:pStyle w:val="NormalWeb"/>
              <w:jc w:val="right"/>
              <w:rPr>
                <w:rFonts w:ascii="Tahoma" w:hAnsi="Tahoma" w:cs="Tahoma"/>
                <w:color w:val="000000"/>
                <w:sz w:val="22"/>
                <w:szCs w:val="22"/>
              </w:rPr>
            </w:pPr>
            <w:r w:rsidRPr="00352945">
              <w:rPr>
                <w:rFonts w:ascii="Tahoma" w:hAnsi="Tahoma" w:cs="Tahoma"/>
                <w:color w:val="000000"/>
                <w:sz w:val="22"/>
                <w:szCs w:val="22"/>
              </w:rPr>
              <w:t>0,00%</w:t>
            </w:r>
          </w:p>
        </w:tc>
        <w:tc>
          <w:tcPr>
            <w:tcW w:w="2267" w:type="dxa"/>
            <w:noWrap/>
            <w:hideMark/>
          </w:tcPr>
          <w:p w14:paraId="484BB6AB" w14:textId="77777777" w:rsidR="00352945" w:rsidRPr="00352945" w:rsidRDefault="00352945" w:rsidP="000C1B33">
            <w:pPr>
              <w:pStyle w:val="NormalWeb"/>
              <w:jc w:val="right"/>
              <w:rPr>
                <w:rFonts w:ascii="Tahoma" w:hAnsi="Tahoma" w:cs="Tahoma"/>
                <w:color w:val="000000"/>
                <w:sz w:val="22"/>
                <w:szCs w:val="22"/>
              </w:rPr>
            </w:pPr>
            <w:r w:rsidRPr="00352945">
              <w:rPr>
                <w:rFonts w:ascii="Tahoma" w:hAnsi="Tahoma" w:cs="Tahoma"/>
                <w:color w:val="000000"/>
                <w:sz w:val="22"/>
                <w:szCs w:val="22"/>
              </w:rPr>
              <w:t>1,30%</w:t>
            </w:r>
          </w:p>
        </w:tc>
        <w:tc>
          <w:tcPr>
            <w:tcW w:w="2267" w:type="dxa"/>
            <w:noWrap/>
            <w:hideMark/>
          </w:tcPr>
          <w:p w14:paraId="1BAB88E7" w14:textId="77777777" w:rsidR="00352945" w:rsidRPr="00352945" w:rsidRDefault="00352945" w:rsidP="000C1B33">
            <w:pPr>
              <w:pStyle w:val="NormalWeb"/>
              <w:jc w:val="right"/>
              <w:rPr>
                <w:rFonts w:ascii="Tahoma" w:hAnsi="Tahoma" w:cs="Tahoma"/>
                <w:color w:val="000000"/>
                <w:sz w:val="22"/>
                <w:szCs w:val="22"/>
              </w:rPr>
            </w:pPr>
          </w:p>
        </w:tc>
      </w:tr>
      <w:tr w:rsidR="00352945" w:rsidRPr="00352945" w14:paraId="45249322" w14:textId="77777777" w:rsidTr="00C807EE">
        <w:trPr>
          <w:trHeight w:val="290"/>
        </w:trPr>
        <w:tc>
          <w:tcPr>
            <w:tcW w:w="2266" w:type="dxa"/>
            <w:noWrap/>
            <w:hideMark/>
          </w:tcPr>
          <w:p w14:paraId="0499C90C" w14:textId="046C961A" w:rsidR="00352945" w:rsidRPr="00352945" w:rsidRDefault="00352945" w:rsidP="00A36B3A">
            <w:pPr>
              <w:pStyle w:val="NormalWeb"/>
              <w:rPr>
                <w:rFonts w:ascii="Tahoma" w:hAnsi="Tahoma" w:cs="Tahoma"/>
                <w:b/>
                <w:bCs/>
                <w:color w:val="000000"/>
                <w:sz w:val="22"/>
                <w:szCs w:val="22"/>
              </w:rPr>
            </w:pPr>
            <w:r w:rsidRPr="002D4660">
              <w:rPr>
                <w:rFonts w:ascii="Tahoma" w:hAnsi="Tahoma" w:cs="Tahoma"/>
                <w:b/>
                <w:bCs/>
                <w:color w:val="000000"/>
                <w:sz w:val="22"/>
                <w:szCs w:val="22"/>
              </w:rPr>
              <w:t>A</w:t>
            </w:r>
            <w:r w:rsidRPr="00352945">
              <w:rPr>
                <w:rFonts w:ascii="Tahoma" w:hAnsi="Tahoma" w:cs="Tahoma"/>
                <w:b/>
                <w:bCs/>
                <w:color w:val="000000"/>
                <w:sz w:val="22"/>
                <w:szCs w:val="22"/>
              </w:rPr>
              <w:t>nuiteta</w:t>
            </w:r>
          </w:p>
        </w:tc>
        <w:tc>
          <w:tcPr>
            <w:tcW w:w="2267" w:type="dxa"/>
            <w:noWrap/>
            <w:hideMark/>
          </w:tcPr>
          <w:p w14:paraId="1AC278C6" w14:textId="77777777" w:rsidR="00352945" w:rsidRPr="00352945" w:rsidRDefault="00352945" w:rsidP="000C1B33">
            <w:pPr>
              <w:pStyle w:val="NormalWeb"/>
              <w:jc w:val="right"/>
              <w:rPr>
                <w:rFonts w:ascii="Tahoma" w:hAnsi="Tahoma" w:cs="Tahoma"/>
                <w:b/>
                <w:bCs/>
                <w:color w:val="000000"/>
                <w:sz w:val="22"/>
                <w:szCs w:val="22"/>
              </w:rPr>
            </w:pPr>
            <w:r w:rsidRPr="00352945">
              <w:rPr>
                <w:rFonts w:ascii="Tahoma" w:hAnsi="Tahoma" w:cs="Tahoma"/>
                <w:b/>
                <w:bCs/>
                <w:color w:val="000000"/>
                <w:sz w:val="22"/>
                <w:szCs w:val="22"/>
              </w:rPr>
              <w:t xml:space="preserve">€243,58 </w:t>
            </w:r>
          </w:p>
        </w:tc>
        <w:tc>
          <w:tcPr>
            <w:tcW w:w="2267" w:type="dxa"/>
            <w:noWrap/>
            <w:hideMark/>
          </w:tcPr>
          <w:p w14:paraId="31A00C3D" w14:textId="77777777" w:rsidR="00352945" w:rsidRPr="00352945" w:rsidRDefault="00352945" w:rsidP="000C1B33">
            <w:pPr>
              <w:pStyle w:val="NormalWeb"/>
              <w:jc w:val="right"/>
              <w:rPr>
                <w:rFonts w:ascii="Tahoma" w:hAnsi="Tahoma" w:cs="Tahoma"/>
                <w:b/>
                <w:bCs/>
                <w:color w:val="000000"/>
                <w:sz w:val="22"/>
                <w:szCs w:val="22"/>
              </w:rPr>
            </w:pPr>
            <w:r w:rsidRPr="00352945">
              <w:rPr>
                <w:rFonts w:ascii="Tahoma" w:hAnsi="Tahoma" w:cs="Tahoma"/>
                <w:b/>
                <w:bCs/>
                <w:color w:val="000000"/>
                <w:sz w:val="22"/>
                <w:szCs w:val="22"/>
              </w:rPr>
              <w:t xml:space="preserve">€274,80 </w:t>
            </w:r>
          </w:p>
        </w:tc>
        <w:tc>
          <w:tcPr>
            <w:tcW w:w="2267" w:type="dxa"/>
            <w:noWrap/>
            <w:hideMark/>
          </w:tcPr>
          <w:p w14:paraId="64023E80" w14:textId="77777777" w:rsidR="00352945" w:rsidRPr="00352945" w:rsidRDefault="00352945" w:rsidP="000C1B33">
            <w:pPr>
              <w:pStyle w:val="NormalWeb"/>
              <w:jc w:val="right"/>
              <w:rPr>
                <w:rFonts w:ascii="Tahoma" w:hAnsi="Tahoma" w:cs="Tahoma"/>
                <w:b/>
                <w:bCs/>
                <w:color w:val="000000"/>
                <w:sz w:val="22"/>
                <w:szCs w:val="22"/>
              </w:rPr>
            </w:pPr>
            <w:r w:rsidRPr="00352945">
              <w:rPr>
                <w:rFonts w:ascii="Tahoma" w:hAnsi="Tahoma" w:cs="Tahoma"/>
                <w:b/>
                <w:bCs/>
                <w:color w:val="000000"/>
                <w:sz w:val="22"/>
                <w:szCs w:val="22"/>
              </w:rPr>
              <w:t xml:space="preserve">€31,22 </w:t>
            </w:r>
          </w:p>
        </w:tc>
      </w:tr>
      <w:tr w:rsidR="00A36B3A" w:rsidRPr="002D4660" w14:paraId="326D98A9" w14:textId="77777777" w:rsidTr="00C807EE">
        <w:tc>
          <w:tcPr>
            <w:tcW w:w="2266" w:type="dxa"/>
          </w:tcPr>
          <w:p w14:paraId="4C71D403" w14:textId="745855E7" w:rsidR="00A36B3A" w:rsidRPr="002D4660" w:rsidRDefault="00A36B3A" w:rsidP="00A36B3A">
            <w:pPr>
              <w:pStyle w:val="NormalWeb"/>
              <w:rPr>
                <w:rFonts w:ascii="Tahoma" w:hAnsi="Tahoma" w:cs="Tahoma"/>
                <w:b/>
                <w:bCs/>
                <w:color w:val="000000"/>
                <w:sz w:val="22"/>
                <w:szCs w:val="22"/>
              </w:rPr>
            </w:pPr>
            <w:r w:rsidRPr="002D4660">
              <w:rPr>
                <w:rFonts w:ascii="Tahoma" w:hAnsi="Tahoma" w:cs="Tahoma"/>
                <w:b/>
                <w:bCs/>
                <w:color w:val="000000"/>
                <w:sz w:val="22"/>
                <w:szCs w:val="22"/>
              </w:rPr>
              <w:t xml:space="preserve">Obdobje odplačevanja </w:t>
            </w:r>
            <w:r w:rsidR="002D4660">
              <w:rPr>
                <w:rFonts w:ascii="Tahoma" w:hAnsi="Tahoma" w:cs="Tahoma"/>
                <w:b/>
                <w:bCs/>
                <w:color w:val="000000"/>
                <w:sz w:val="22"/>
                <w:szCs w:val="22"/>
              </w:rPr>
              <w:t>30</w:t>
            </w:r>
            <w:r w:rsidRPr="002D4660">
              <w:rPr>
                <w:rFonts w:ascii="Tahoma" w:hAnsi="Tahoma" w:cs="Tahoma"/>
                <w:b/>
                <w:bCs/>
                <w:color w:val="000000"/>
                <w:sz w:val="22"/>
                <w:szCs w:val="22"/>
              </w:rPr>
              <w:t xml:space="preserve"> let:</w:t>
            </w:r>
          </w:p>
        </w:tc>
        <w:tc>
          <w:tcPr>
            <w:tcW w:w="2267" w:type="dxa"/>
          </w:tcPr>
          <w:p w14:paraId="45DF4D68" w14:textId="228226E7" w:rsidR="00A36B3A" w:rsidRPr="002D4660" w:rsidRDefault="00A36B3A" w:rsidP="000C1B33">
            <w:pPr>
              <w:pStyle w:val="NormalWeb"/>
              <w:jc w:val="right"/>
              <w:rPr>
                <w:rFonts w:ascii="Tahoma" w:hAnsi="Tahoma" w:cs="Tahoma"/>
                <w:b/>
                <w:bCs/>
                <w:color w:val="000000"/>
                <w:sz w:val="22"/>
                <w:szCs w:val="22"/>
              </w:rPr>
            </w:pPr>
            <w:r w:rsidRPr="002D4660">
              <w:rPr>
                <w:rFonts w:ascii="Tahoma" w:hAnsi="Tahoma" w:cs="Tahoma"/>
                <w:b/>
                <w:bCs/>
                <w:color w:val="000000"/>
                <w:sz w:val="22"/>
                <w:szCs w:val="22"/>
              </w:rPr>
              <w:t>360 mesecev</w:t>
            </w:r>
          </w:p>
        </w:tc>
        <w:tc>
          <w:tcPr>
            <w:tcW w:w="2267" w:type="dxa"/>
          </w:tcPr>
          <w:p w14:paraId="22A97237" w14:textId="761B1EA4" w:rsidR="00A36B3A" w:rsidRPr="002D4660" w:rsidRDefault="00A36B3A" w:rsidP="000C1B33">
            <w:pPr>
              <w:pStyle w:val="NormalWeb"/>
              <w:jc w:val="right"/>
              <w:rPr>
                <w:rFonts w:ascii="Tahoma" w:hAnsi="Tahoma" w:cs="Tahoma"/>
                <w:b/>
                <w:bCs/>
                <w:color w:val="000000"/>
                <w:sz w:val="22"/>
                <w:szCs w:val="22"/>
              </w:rPr>
            </w:pPr>
            <w:r w:rsidRPr="002D4660">
              <w:rPr>
                <w:rFonts w:ascii="Tahoma" w:hAnsi="Tahoma" w:cs="Tahoma"/>
                <w:b/>
                <w:bCs/>
                <w:color w:val="000000"/>
                <w:sz w:val="22"/>
                <w:szCs w:val="22"/>
              </w:rPr>
              <w:t>360 mesecev</w:t>
            </w:r>
          </w:p>
        </w:tc>
        <w:tc>
          <w:tcPr>
            <w:tcW w:w="2267" w:type="dxa"/>
          </w:tcPr>
          <w:p w14:paraId="598F5CE1" w14:textId="65B64A6B" w:rsidR="00A36B3A" w:rsidRPr="002D4660" w:rsidRDefault="00A36B3A" w:rsidP="000C1B33">
            <w:pPr>
              <w:pStyle w:val="NormalWeb"/>
              <w:jc w:val="right"/>
              <w:rPr>
                <w:rFonts w:ascii="Tahoma" w:hAnsi="Tahoma" w:cs="Tahoma"/>
                <w:b/>
                <w:bCs/>
                <w:color w:val="000000"/>
                <w:sz w:val="22"/>
                <w:szCs w:val="22"/>
              </w:rPr>
            </w:pPr>
          </w:p>
        </w:tc>
      </w:tr>
      <w:tr w:rsidR="00A36B3A" w:rsidRPr="00A36B3A" w14:paraId="1EFFE705" w14:textId="77777777" w:rsidTr="00C807EE">
        <w:tc>
          <w:tcPr>
            <w:tcW w:w="2266" w:type="dxa"/>
          </w:tcPr>
          <w:p w14:paraId="7BF00F29" w14:textId="3EE7D364" w:rsidR="00A36B3A" w:rsidRDefault="00A36B3A" w:rsidP="00A36B3A">
            <w:pPr>
              <w:pStyle w:val="NormalWeb"/>
              <w:rPr>
                <w:rFonts w:ascii="Tahoma" w:hAnsi="Tahoma" w:cs="Tahoma"/>
                <w:color w:val="000000"/>
                <w:sz w:val="22"/>
                <w:szCs w:val="22"/>
              </w:rPr>
            </w:pPr>
            <w:r>
              <w:rPr>
                <w:rFonts w:ascii="Tahoma" w:hAnsi="Tahoma" w:cs="Tahoma"/>
                <w:color w:val="000000"/>
                <w:sz w:val="22"/>
                <w:szCs w:val="22"/>
              </w:rPr>
              <w:t>F</w:t>
            </w:r>
            <w:r w:rsidRPr="00A36B3A">
              <w:rPr>
                <w:rFonts w:ascii="Tahoma" w:hAnsi="Tahoma" w:cs="Tahoma"/>
                <w:color w:val="000000"/>
                <w:sz w:val="22"/>
                <w:szCs w:val="22"/>
              </w:rPr>
              <w:t>iksni pribitek v variabilni obrestni meri:</w:t>
            </w:r>
          </w:p>
        </w:tc>
        <w:tc>
          <w:tcPr>
            <w:tcW w:w="2267" w:type="dxa"/>
          </w:tcPr>
          <w:p w14:paraId="4382A1FD" w14:textId="507F9E8B" w:rsidR="00A36B3A" w:rsidRDefault="00A36B3A" w:rsidP="000C1B33">
            <w:pPr>
              <w:pStyle w:val="NormalWeb"/>
              <w:jc w:val="right"/>
              <w:rPr>
                <w:rFonts w:ascii="Tahoma" w:hAnsi="Tahoma" w:cs="Tahoma"/>
                <w:color w:val="000000"/>
                <w:sz w:val="22"/>
                <w:szCs w:val="22"/>
              </w:rPr>
            </w:pPr>
            <w:r w:rsidRPr="00A36B3A">
              <w:rPr>
                <w:rFonts w:ascii="Tahoma" w:hAnsi="Tahoma" w:cs="Tahoma"/>
                <w:color w:val="000000"/>
                <w:sz w:val="22"/>
                <w:szCs w:val="22"/>
              </w:rPr>
              <w:t>1,60%</w:t>
            </w:r>
          </w:p>
        </w:tc>
        <w:tc>
          <w:tcPr>
            <w:tcW w:w="2267" w:type="dxa"/>
          </w:tcPr>
          <w:p w14:paraId="058D37C3" w14:textId="4AF22977" w:rsidR="00A36B3A" w:rsidRDefault="00A36B3A" w:rsidP="000C1B33">
            <w:pPr>
              <w:pStyle w:val="NormalWeb"/>
              <w:jc w:val="right"/>
              <w:rPr>
                <w:rFonts w:ascii="Tahoma" w:hAnsi="Tahoma" w:cs="Tahoma"/>
                <w:color w:val="000000"/>
                <w:sz w:val="22"/>
                <w:szCs w:val="22"/>
              </w:rPr>
            </w:pPr>
            <w:r w:rsidRPr="00A36B3A">
              <w:rPr>
                <w:rFonts w:ascii="Tahoma" w:hAnsi="Tahoma" w:cs="Tahoma"/>
                <w:color w:val="000000"/>
                <w:sz w:val="22"/>
                <w:szCs w:val="22"/>
              </w:rPr>
              <w:t>1,60%</w:t>
            </w:r>
          </w:p>
        </w:tc>
        <w:tc>
          <w:tcPr>
            <w:tcW w:w="2267" w:type="dxa"/>
          </w:tcPr>
          <w:p w14:paraId="15A0E6F2" w14:textId="77777777" w:rsidR="00A36B3A" w:rsidRDefault="00A36B3A" w:rsidP="000C1B33">
            <w:pPr>
              <w:pStyle w:val="NormalWeb"/>
              <w:jc w:val="right"/>
              <w:rPr>
                <w:rFonts w:ascii="Tahoma" w:hAnsi="Tahoma" w:cs="Tahoma"/>
                <w:color w:val="000000"/>
                <w:sz w:val="22"/>
                <w:szCs w:val="22"/>
              </w:rPr>
            </w:pPr>
          </w:p>
        </w:tc>
      </w:tr>
      <w:tr w:rsidR="00A36B3A" w:rsidRPr="00A36B3A" w14:paraId="47AD253F" w14:textId="77777777" w:rsidTr="00C807EE">
        <w:tc>
          <w:tcPr>
            <w:tcW w:w="2266" w:type="dxa"/>
          </w:tcPr>
          <w:p w14:paraId="0BC11961" w14:textId="472D9472" w:rsidR="00A36B3A" w:rsidRDefault="00A36B3A" w:rsidP="00A36B3A">
            <w:pPr>
              <w:pStyle w:val="NormalWeb"/>
              <w:rPr>
                <w:rFonts w:ascii="Tahoma" w:hAnsi="Tahoma" w:cs="Tahoma"/>
                <w:color w:val="000000"/>
                <w:sz w:val="22"/>
                <w:szCs w:val="22"/>
              </w:rPr>
            </w:pPr>
            <w:r w:rsidRPr="00A36B3A">
              <w:rPr>
                <w:rFonts w:ascii="Tahoma" w:hAnsi="Tahoma" w:cs="Tahoma"/>
                <w:color w:val="000000"/>
                <w:sz w:val="22"/>
                <w:szCs w:val="22"/>
              </w:rPr>
              <w:t>6m EURIBOR</w:t>
            </w:r>
          </w:p>
        </w:tc>
        <w:tc>
          <w:tcPr>
            <w:tcW w:w="2267" w:type="dxa"/>
          </w:tcPr>
          <w:p w14:paraId="09F76101" w14:textId="3AA4A791" w:rsidR="00A36B3A" w:rsidRDefault="00A36B3A" w:rsidP="000C1B33">
            <w:pPr>
              <w:pStyle w:val="NormalWeb"/>
              <w:jc w:val="right"/>
              <w:rPr>
                <w:rFonts w:ascii="Tahoma" w:hAnsi="Tahoma" w:cs="Tahoma"/>
                <w:color w:val="000000"/>
                <w:sz w:val="22"/>
                <w:szCs w:val="22"/>
              </w:rPr>
            </w:pPr>
            <w:r w:rsidRPr="00A36B3A">
              <w:rPr>
                <w:rFonts w:ascii="Tahoma" w:hAnsi="Tahoma" w:cs="Tahoma"/>
                <w:color w:val="000000"/>
                <w:sz w:val="22"/>
                <w:szCs w:val="22"/>
              </w:rPr>
              <w:t>0,00%</w:t>
            </w:r>
          </w:p>
        </w:tc>
        <w:tc>
          <w:tcPr>
            <w:tcW w:w="2267" w:type="dxa"/>
          </w:tcPr>
          <w:p w14:paraId="725110C4" w14:textId="59BD2A75" w:rsidR="00A36B3A" w:rsidRDefault="00A36B3A" w:rsidP="000C1B33">
            <w:pPr>
              <w:pStyle w:val="NormalWeb"/>
              <w:jc w:val="right"/>
              <w:rPr>
                <w:rFonts w:ascii="Tahoma" w:hAnsi="Tahoma" w:cs="Tahoma"/>
                <w:color w:val="000000"/>
                <w:sz w:val="22"/>
                <w:szCs w:val="22"/>
              </w:rPr>
            </w:pPr>
            <w:r w:rsidRPr="00A36B3A">
              <w:rPr>
                <w:rFonts w:ascii="Tahoma" w:hAnsi="Tahoma" w:cs="Tahoma"/>
                <w:color w:val="000000"/>
                <w:sz w:val="22"/>
                <w:szCs w:val="22"/>
              </w:rPr>
              <w:t>1,30%</w:t>
            </w:r>
          </w:p>
        </w:tc>
        <w:tc>
          <w:tcPr>
            <w:tcW w:w="2267" w:type="dxa"/>
          </w:tcPr>
          <w:p w14:paraId="2AFD3241" w14:textId="77777777" w:rsidR="00A36B3A" w:rsidRDefault="00A36B3A" w:rsidP="000C1B33">
            <w:pPr>
              <w:pStyle w:val="NormalWeb"/>
              <w:jc w:val="right"/>
              <w:rPr>
                <w:rFonts w:ascii="Tahoma" w:hAnsi="Tahoma" w:cs="Tahoma"/>
                <w:color w:val="000000"/>
                <w:sz w:val="22"/>
                <w:szCs w:val="22"/>
              </w:rPr>
            </w:pPr>
          </w:p>
        </w:tc>
      </w:tr>
      <w:tr w:rsidR="00A36B3A" w:rsidRPr="00A36B3A" w14:paraId="3F934228" w14:textId="77777777" w:rsidTr="00C807EE">
        <w:tc>
          <w:tcPr>
            <w:tcW w:w="2266" w:type="dxa"/>
          </w:tcPr>
          <w:p w14:paraId="79AA7FC0" w14:textId="0E6C2489" w:rsidR="00A36B3A" w:rsidRDefault="00A36B3A" w:rsidP="00A36B3A">
            <w:pPr>
              <w:pStyle w:val="NormalWeb"/>
              <w:rPr>
                <w:rFonts w:ascii="Tahoma" w:hAnsi="Tahoma" w:cs="Tahoma"/>
                <w:color w:val="000000"/>
                <w:sz w:val="22"/>
                <w:szCs w:val="22"/>
              </w:rPr>
            </w:pPr>
            <w:r>
              <w:rPr>
                <w:rFonts w:ascii="Tahoma" w:hAnsi="Tahoma" w:cs="Tahoma"/>
                <w:color w:val="000000"/>
                <w:sz w:val="22"/>
                <w:szCs w:val="22"/>
              </w:rPr>
              <w:t>A</w:t>
            </w:r>
            <w:r w:rsidRPr="00A36B3A">
              <w:rPr>
                <w:rFonts w:ascii="Tahoma" w:hAnsi="Tahoma" w:cs="Tahoma"/>
                <w:color w:val="000000"/>
                <w:sz w:val="22"/>
                <w:szCs w:val="22"/>
              </w:rPr>
              <w:t>nuiteta</w:t>
            </w:r>
          </w:p>
        </w:tc>
        <w:tc>
          <w:tcPr>
            <w:tcW w:w="2267" w:type="dxa"/>
          </w:tcPr>
          <w:p w14:paraId="1CF3E715" w14:textId="6F81A43C" w:rsidR="00A36B3A" w:rsidRDefault="00A36B3A" w:rsidP="000C1B33">
            <w:pPr>
              <w:pStyle w:val="NormalWeb"/>
              <w:jc w:val="right"/>
              <w:rPr>
                <w:rFonts w:ascii="Tahoma" w:hAnsi="Tahoma" w:cs="Tahoma"/>
                <w:color w:val="000000"/>
                <w:sz w:val="22"/>
                <w:szCs w:val="22"/>
              </w:rPr>
            </w:pPr>
            <w:r w:rsidRPr="00A36B3A">
              <w:rPr>
                <w:rFonts w:ascii="Tahoma" w:hAnsi="Tahoma" w:cs="Tahoma"/>
                <w:color w:val="000000"/>
                <w:sz w:val="22"/>
                <w:szCs w:val="22"/>
              </w:rPr>
              <w:t xml:space="preserve">€174,97 </w:t>
            </w:r>
          </w:p>
        </w:tc>
        <w:tc>
          <w:tcPr>
            <w:tcW w:w="2267" w:type="dxa"/>
          </w:tcPr>
          <w:p w14:paraId="53F4CDB2" w14:textId="5B869033" w:rsidR="00A36B3A" w:rsidRDefault="00A36B3A" w:rsidP="000C1B33">
            <w:pPr>
              <w:pStyle w:val="NormalWeb"/>
              <w:jc w:val="right"/>
              <w:rPr>
                <w:rFonts w:ascii="Tahoma" w:hAnsi="Tahoma" w:cs="Tahoma"/>
                <w:color w:val="000000"/>
                <w:sz w:val="22"/>
                <w:szCs w:val="22"/>
              </w:rPr>
            </w:pPr>
            <w:r w:rsidRPr="00A36B3A">
              <w:rPr>
                <w:rFonts w:ascii="Tahoma" w:hAnsi="Tahoma" w:cs="Tahoma"/>
                <w:color w:val="000000"/>
                <w:sz w:val="22"/>
                <w:szCs w:val="22"/>
              </w:rPr>
              <w:t xml:space="preserve">€208,11 </w:t>
            </w:r>
          </w:p>
        </w:tc>
        <w:tc>
          <w:tcPr>
            <w:tcW w:w="2267" w:type="dxa"/>
          </w:tcPr>
          <w:p w14:paraId="718400ED" w14:textId="5456DEDA" w:rsidR="00A36B3A" w:rsidRPr="00A36B3A" w:rsidRDefault="00A36B3A" w:rsidP="000C1B33">
            <w:pPr>
              <w:pStyle w:val="NormalWeb"/>
              <w:jc w:val="right"/>
              <w:rPr>
                <w:rFonts w:ascii="Tahoma" w:hAnsi="Tahoma" w:cs="Tahoma"/>
                <w:b/>
                <w:bCs/>
                <w:color w:val="000000"/>
                <w:sz w:val="22"/>
                <w:szCs w:val="22"/>
              </w:rPr>
            </w:pPr>
            <w:r w:rsidRPr="00A36B3A">
              <w:rPr>
                <w:rFonts w:ascii="Tahoma" w:hAnsi="Tahoma" w:cs="Tahoma"/>
                <w:b/>
                <w:bCs/>
                <w:color w:val="000000"/>
                <w:sz w:val="22"/>
                <w:szCs w:val="22"/>
              </w:rPr>
              <w:t xml:space="preserve">€33,14 </w:t>
            </w:r>
          </w:p>
        </w:tc>
      </w:tr>
    </w:tbl>
    <w:p w14:paraId="2C3D9ED7" w14:textId="4BFE4F05" w:rsidR="00A36B3A" w:rsidRDefault="00A36B3A" w:rsidP="008B34FE">
      <w:pPr>
        <w:pStyle w:val="NormalWeb"/>
        <w:shd w:val="clear" w:color="auto" w:fill="FFFFFF"/>
        <w:rPr>
          <w:rFonts w:ascii="Tahoma" w:hAnsi="Tahoma" w:cs="Tahoma"/>
          <w:color w:val="000000"/>
          <w:sz w:val="22"/>
          <w:szCs w:val="22"/>
        </w:rPr>
      </w:pPr>
    </w:p>
    <w:tbl>
      <w:tblPr>
        <w:tblStyle w:val="TableGrid"/>
        <w:tblW w:w="9062" w:type="dxa"/>
        <w:tblLook w:val="04A0" w:firstRow="1" w:lastRow="0" w:firstColumn="1" w:lastColumn="0" w:noHBand="0" w:noVBand="1"/>
      </w:tblPr>
      <w:tblGrid>
        <w:gridCol w:w="2265"/>
        <w:gridCol w:w="2265"/>
        <w:gridCol w:w="2266"/>
        <w:gridCol w:w="2266"/>
      </w:tblGrid>
      <w:tr w:rsidR="00C807EE" w:rsidRPr="00C807EE" w14:paraId="7EE6F16C" w14:textId="77777777" w:rsidTr="00C807EE">
        <w:trPr>
          <w:trHeight w:val="290"/>
        </w:trPr>
        <w:tc>
          <w:tcPr>
            <w:tcW w:w="2265" w:type="dxa"/>
            <w:noWrap/>
            <w:hideMark/>
          </w:tcPr>
          <w:p w14:paraId="1349AC63" w14:textId="6133F29D" w:rsidR="00C807EE" w:rsidRPr="00C807EE" w:rsidRDefault="00C807EE" w:rsidP="00C807EE">
            <w:pPr>
              <w:pStyle w:val="NormalWeb"/>
              <w:rPr>
                <w:rFonts w:ascii="Tahoma" w:hAnsi="Tahoma" w:cs="Tahoma"/>
                <w:b/>
                <w:bCs/>
                <w:color w:val="000000"/>
                <w:sz w:val="22"/>
                <w:szCs w:val="22"/>
              </w:rPr>
            </w:pPr>
            <w:r w:rsidRPr="00C807EE">
              <w:rPr>
                <w:rFonts w:ascii="Tahoma" w:hAnsi="Tahoma" w:cs="Tahoma"/>
                <w:b/>
                <w:bCs/>
                <w:color w:val="000000"/>
                <w:sz w:val="22"/>
                <w:szCs w:val="22"/>
              </w:rPr>
              <w:t>Znesek kredita:</w:t>
            </w:r>
          </w:p>
        </w:tc>
        <w:tc>
          <w:tcPr>
            <w:tcW w:w="2265" w:type="dxa"/>
            <w:noWrap/>
            <w:hideMark/>
          </w:tcPr>
          <w:p w14:paraId="0C670080" w14:textId="77777777" w:rsidR="00C807EE" w:rsidRPr="00C807EE" w:rsidRDefault="00C807EE" w:rsidP="000C1B33">
            <w:pPr>
              <w:pStyle w:val="NormalWeb"/>
              <w:jc w:val="right"/>
              <w:rPr>
                <w:rFonts w:ascii="Tahoma" w:hAnsi="Tahoma" w:cs="Tahoma"/>
                <w:b/>
                <w:bCs/>
                <w:color w:val="000000"/>
                <w:sz w:val="22"/>
                <w:szCs w:val="22"/>
              </w:rPr>
            </w:pPr>
            <w:r w:rsidRPr="00C807EE">
              <w:rPr>
                <w:rFonts w:ascii="Tahoma" w:hAnsi="Tahoma" w:cs="Tahoma"/>
                <w:b/>
                <w:bCs/>
                <w:color w:val="000000"/>
                <w:sz w:val="22"/>
                <w:szCs w:val="22"/>
              </w:rPr>
              <w:t xml:space="preserve">€100.000,00 </w:t>
            </w:r>
          </w:p>
        </w:tc>
        <w:tc>
          <w:tcPr>
            <w:tcW w:w="2266" w:type="dxa"/>
            <w:noWrap/>
            <w:hideMark/>
          </w:tcPr>
          <w:p w14:paraId="668ADA42" w14:textId="77777777" w:rsidR="00C807EE" w:rsidRPr="00C807EE" w:rsidRDefault="00C807EE" w:rsidP="000C1B33">
            <w:pPr>
              <w:pStyle w:val="NormalWeb"/>
              <w:jc w:val="right"/>
              <w:rPr>
                <w:rFonts w:ascii="Tahoma" w:hAnsi="Tahoma" w:cs="Tahoma"/>
                <w:b/>
                <w:bCs/>
                <w:color w:val="000000"/>
                <w:sz w:val="22"/>
                <w:szCs w:val="22"/>
              </w:rPr>
            </w:pPr>
            <w:r w:rsidRPr="00C807EE">
              <w:rPr>
                <w:rFonts w:ascii="Tahoma" w:hAnsi="Tahoma" w:cs="Tahoma"/>
                <w:b/>
                <w:bCs/>
                <w:color w:val="000000"/>
                <w:sz w:val="22"/>
                <w:szCs w:val="22"/>
              </w:rPr>
              <w:t xml:space="preserve">€100.000,00 </w:t>
            </w:r>
          </w:p>
        </w:tc>
        <w:tc>
          <w:tcPr>
            <w:tcW w:w="2266" w:type="dxa"/>
            <w:noWrap/>
            <w:hideMark/>
          </w:tcPr>
          <w:p w14:paraId="77E3F2CF" w14:textId="23846CC0" w:rsidR="00C807EE" w:rsidRPr="00C807EE" w:rsidRDefault="00C807EE" w:rsidP="000C1B33">
            <w:pPr>
              <w:pStyle w:val="NormalWeb"/>
              <w:jc w:val="right"/>
              <w:rPr>
                <w:rFonts w:ascii="Tahoma" w:hAnsi="Tahoma" w:cs="Tahoma"/>
                <w:b/>
                <w:bCs/>
                <w:color w:val="000000"/>
                <w:sz w:val="22"/>
                <w:szCs w:val="22"/>
              </w:rPr>
            </w:pPr>
            <w:r w:rsidRPr="00C807EE">
              <w:rPr>
                <w:rFonts w:ascii="Tahoma" w:hAnsi="Tahoma" w:cs="Tahoma"/>
                <w:b/>
                <w:bCs/>
                <w:color w:val="000000"/>
                <w:sz w:val="22"/>
                <w:szCs w:val="22"/>
              </w:rPr>
              <w:t>Razlika v višini anuitete</w:t>
            </w:r>
          </w:p>
        </w:tc>
      </w:tr>
      <w:tr w:rsidR="00C807EE" w:rsidRPr="00C807EE" w14:paraId="7196B2AA" w14:textId="77777777" w:rsidTr="00C807EE">
        <w:trPr>
          <w:trHeight w:val="290"/>
        </w:trPr>
        <w:tc>
          <w:tcPr>
            <w:tcW w:w="2265" w:type="dxa"/>
            <w:noWrap/>
            <w:hideMark/>
          </w:tcPr>
          <w:p w14:paraId="7CC8B0BF" w14:textId="3A8BC982" w:rsidR="00C807EE" w:rsidRPr="00C807EE" w:rsidRDefault="00C807EE" w:rsidP="00C807EE">
            <w:pPr>
              <w:pStyle w:val="NormalWeb"/>
              <w:rPr>
                <w:rFonts w:ascii="Tahoma" w:hAnsi="Tahoma" w:cs="Tahoma"/>
                <w:b/>
                <w:bCs/>
                <w:color w:val="000000"/>
                <w:sz w:val="22"/>
                <w:szCs w:val="22"/>
              </w:rPr>
            </w:pPr>
            <w:r w:rsidRPr="00C807EE">
              <w:rPr>
                <w:rFonts w:ascii="Tahoma" w:hAnsi="Tahoma" w:cs="Tahoma"/>
                <w:b/>
                <w:bCs/>
                <w:color w:val="000000"/>
                <w:sz w:val="22"/>
                <w:szCs w:val="22"/>
              </w:rPr>
              <w:t>Obdobje odplačevanja 20 let:</w:t>
            </w:r>
          </w:p>
        </w:tc>
        <w:tc>
          <w:tcPr>
            <w:tcW w:w="2265" w:type="dxa"/>
            <w:noWrap/>
            <w:hideMark/>
          </w:tcPr>
          <w:p w14:paraId="3A317A9C" w14:textId="77777777" w:rsidR="00C807EE" w:rsidRPr="00C807EE" w:rsidRDefault="00C807EE" w:rsidP="000C1B33">
            <w:pPr>
              <w:pStyle w:val="NormalWeb"/>
              <w:jc w:val="right"/>
              <w:rPr>
                <w:rFonts w:ascii="Tahoma" w:hAnsi="Tahoma" w:cs="Tahoma"/>
                <w:b/>
                <w:bCs/>
                <w:color w:val="000000"/>
                <w:sz w:val="22"/>
                <w:szCs w:val="22"/>
              </w:rPr>
            </w:pPr>
            <w:r w:rsidRPr="00C807EE">
              <w:rPr>
                <w:rFonts w:ascii="Tahoma" w:hAnsi="Tahoma" w:cs="Tahoma"/>
                <w:b/>
                <w:bCs/>
                <w:color w:val="000000"/>
                <w:sz w:val="22"/>
                <w:szCs w:val="22"/>
              </w:rPr>
              <w:t>240 mesecev</w:t>
            </w:r>
          </w:p>
        </w:tc>
        <w:tc>
          <w:tcPr>
            <w:tcW w:w="2266" w:type="dxa"/>
            <w:noWrap/>
            <w:hideMark/>
          </w:tcPr>
          <w:p w14:paraId="173989D1" w14:textId="77777777" w:rsidR="00C807EE" w:rsidRPr="00C807EE" w:rsidRDefault="00C807EE" w:rsidP="000C1B33">
            <w:pPr>
              <w:pStyle w:val="NormalWeb"/>
              <w:jc w:val="right"/>
              <w:rPr>
                <w:rFonts w:ascii="Tahoma" w:hAnsi="Tahoma" w:cs="Tahoma"/>
                <w:b/>
                <w:bCs/>
                <w:color w:val="000000"/>
                <w:sz w:val="22"/>
                <w:szCs w:val="22"/>
              </w:rPr>
            </w:pPr>
            <w:r w:rsidRPr="00C807EE">
              <w:rPr>
                <w:rFonts w:ascii="Tahoma" w:hAnsi="Tahoma" w:cs="Tahoma"/>
                <w:b/>
                <w:bCs/>
                <w:color w:val="000000"/>
                <w:sz w:val="22"/>
                <w:szCs w:val="22"/>
              </w:rPr>
              <w:t>240 mesecev</w:t>
            </w:r>
          </w:p>
        </w:tc>
        <w:tc>
          <w:tcPr>
            <w:tcW w:w="2266" w:type="dxa"/>
            <w:noWrap/>
            <w:hideMark/>
          </w:tcPr>
          <w:p w14:paraId="1568D3EC" w14:textId="78F54CAA" w:rsidR="00C807EE" w:rsidRPr="00C807EE" w:rsidRDefault="00C807EE" w:rsidP="000C1B33">
            <w:pPr>
              <w:pStyle w:val="NormalWeb"/>
              <w:jc w:val="right"/>
              <w:rPr>
                <w:rFonts w:ascii="Tahoma" w:hAnsi="Tahoma" w:cs="Tahoma"/>
                <w:b/>
                <w:bCs/>
                <w:color w:val="000000"/>
                <w:sz w:val="22"/>
                <w:szCs w:val="22"/>
              </w:rPr>
            </w:pPr>
          </w:p>
        </w:tc>
      </w:tr>
      <w:tr w:rsidR="00C807EE" w:rsidRPr="00C807EE" w14:paraId="3250CFEC" w14:textId="77777777" w:rsidTr="00C807EE">
        <w:trPr>
          <w:trHeight w:val="290"/>
        </w:trPr>
        <w:tc>
          <w:tcPr>
            <w:tcW w:w="2265" w:type="dxa"/>
            <w:noWrap/>
            <w:hideMark/>
          </w:tcPr>
          <w:p w14:paraId="3D510ADC" w14:textId="1D09A03F" w:rsidR="00C807EE" w:rsidRPr="00C807EE" w:rsidRDefault="00C807EE" w:rsidP="00C807EE">
            <w:pPr>
              <w:pStyle w:val="NormalWeb"/>
              <w:rPr>
                <w:rFonts w:ascii="Tahoma" w:hAnsi="Tahoma" w:cs="Tahoma"/>
                <w:color w:val="000000"/>
                <w:sz w:val="22"/>
                <w:szCs w:val="22"/>
              </w:rPr>
            </w:pPr>
            <w:r w:rsidRPr="00C807EE">
              <w:rPr>
                <w:rFonts w:ascii="Tahoma" w:hAnsi="Tahoma" w:cs="Tahoma"/>
                <w:color w:val="000000"/>
                <w:sz w:val="22"/>
                <w:szCs w:val="22"/>
              </w:rPr>
              <w:t>Fiksni pribitek v variabilni obrestni meri:</w:t>
            </w:r>
          </w:p>
        </w:tc>
        <w:tc>
          <w:tcPr>
            <w:tcW w:w="2265" w:type="dxa"/>
            <w:noWrap/>
            <w:hideMark/>
          </w:tcPr>
          <w:p w14:paraId="691A715C" w14:textId="77777777" w:rsidR="00C807EE" w:rsidRPr="00C807EE" w:rsidRDefault="00C807EE" w:rsidP="000C1B33">
            <w:pPr>
              <w:pStyle w:val="NormalWeb"/>
              <w:jc w:val="right"/>
              <w:rPr>
                <w:rFonts w:ascii="Tahoma" w:hAnsi="Tahoma" w:cs="Tahoma"/>
                <w:color w:val="000000"/>
                <w:sz w:val="22"/>
                <w:szCs w:val="22"/>
              </w:rPr>
            </w:pPr>
            <w:r w:rsidRPr="00C807EE">
              <w:rPr>
                <w:rFonts w:ascii="Tahoma" w:hAnsi="Tahoma" w:cs="Tahoma"/>
                <w:color w:val="000000"/>
                <w:sz w:val="22"/>
                <w:szCs w:val="22"/>
              </w:rPr>
              <w:t>1,60%</w:t>
            </w:r>
          </w:p>
        </w:tc>
        <w:tc>
          <w:tcPr>
            <w:tcW w:w="2266" w:type="dxa"/>
            <w:noWrap/>
            <w:hideMark/>
          </w:tcPr>
          <w:p w14:paraId="367BD5A7" w14:textId="77777777" w:rsidR="00C807EE" w:rsidRPr="00C807EE" w:rsidRDefault="00C807EE" w:rsidP="000C1B33">
            <w:pPr>
              <w:pStyle w:val="NormalWeb"/>
              <w:jc w:val="right"/>
              <w:rPr>
                <w:rFonts w:ascii="Tahoma" w:hAnsi="Tahoma" w:cs="Tahoma"/>
                <w:color w:val="000000"/>
                <w:sz w:val="22"/>
                <w:szCs w:val="22"/>
              </w:rPr>
            </w:pPr>
            <w:r w:rsidRPr="00C807EE">
              <w:rPr>
                <w:rFonts w:ascii="Tahoma" w:hAnsi="Tahoma" w:cs="Tahoma"/>
                <w:color w:val="000000"/>
                <w:sz w:val="22"/>
                <w:szCs w:val="22"/>
              </w:rPr>
              <w:t>1,60%</w:t>
            </w:r>
          </w:p>
        </w:tc>
        <w:tc>
          <w:tcPr>
            <w:tcW w:w="2266" w:type="dxa"/>
            <w:noWrap/>
            <w:hideMark/>
          </w:tcPr>
          <w:p w14:paraId="47C02B7A" w14:textId="77777777" w:rsidR="00C807EE" w:rsidRPr="00C807EE" w:rsidRDefault="00C807EE" w:rsidP="000C1B33">
            <w:pPr>
              <w:pStyle w:val="NormalWeb"/>
              <w:jc w:val="right"/>
              <w:rPr>
                <w:rFonts w:ascii="Tahoma" w:hAnsi="Tahoma" w:cs="Tahoma"/>
                <w:color w:val="000000"/>
                <w:sz w:val="22"/>
                <w:szCs w:val="22"/>
              </w:rPr>
            </w:pPr>
          </w:p>
        </w:tc>
      </w:tr>
      <w:tr w:rsidR="00C807EE" w:rsidRPr="00C807EE" w14:paraId="29886088" w14:textId="77777777" w:rsidTr="00C807EE">
        <w:trPr>
          <w:trHeight w:val="290"/>
        </w:trPr>
        <w:tc>
          <w:tcPr>
            <w:tcW w:w="2265" w:type="dxa"/>
            <w:noWrap/>
            <w:hideMark/>
          </w:tcPr>
          <w:p w14:paraId="61455A16" w14:textId="77777777" w:rsidR="00C807EE" w:rsidRPr="00C807EE" w:rsidRDefault="00C807EE" w:rsidP="00C807EE">
            <w:pPr>
              <w:pStyle w:val="NormalWeb"/>
              <w:rPr>
                <w:rFonts w:ascii="Tahoma" w:hAnsi="Tahoma" w:cs="Tahoma"/>
                <w:color w:val="000000"/>
                <w:sz w:val="22"/>
                <w:szCs w:val="22"/>
              </w:rPr>
            </w:pPr>
            <w:r w:rsidRPr="00C807EE">
              <w:rPr>
                <w:rFonts w:ascii="Tahoma" w:hAnsi="Tahoma" w:cs="Tahoma"/>
                <w:color w:val="000000"/>
                <w:sz w:val="22"/>
                <w:szCs w:val="22"/>
              </w:rPr>
              <w:t>6m EURIBOR</w:t>
            </w:r>
          </w:p>
        </w:tc>
        <w:tc>
          <w:tcPr>
            <w:tcW w:w="2265" w:type="dxa"/>
            <w:noWrap/>
            <w:hideMark/>
          </w:tcPr>
          <w:p w14:paraId="3C9DF787" w14:textId="77777777" w:rsidR="00C807EE" w:rsidRPr="00C807EE" w:rsidRDefault="00C807EE" w:rsidP="000C1B33">
            <w:pPr>
              <w:pStyle w:val="NormalWeb"/>
              <w:jc w:val="right"/>
              <w:rPr>
                <w:rFonts w:ascii="Tahoma" w:hAnsi="Tahoma" w:cs="Tahoma"/>
                <w:color w:val="000000"/>
                <w:sz w:val="22"/>
                <w:szCs w:val="22"/>
              </w:rPr>
            </w:pPr>
            <w:r w:rsidRPr="00C807EE">
              <w:rPr>
                <w:rFonts w:ascii="Tahoma" w:hAnsi="Tahoma" w:cs="Tahoma"/>
                <w:color w:val="000000"/>
                <w:sz w:val="22"/>
                <w:szCs w:val="22"/>
              </w:rPr>
              <w:t>0,00%</w:t>
            </w:r>
          </w:p>
        </w:tc>
        <w:tc>
          <w:tcPr>
            <w:tcW w:w="2266" w:type="dxa"/>
            <w:noWrap/>
            <w:hideMark/>
          </w:tcPr>
          <w:p w14:paraId="132DC159" w14:textId="77777777" w:rsidR="00C807EE" w:rsidRPr="00C807EE" w:rsidRDefault="00C807EE" w:rsidP="000C1B33">
            <w:pPr>
              <w:pStyle w:val="NormalWeb"/>
              <w:jc w:val="right"/>
              <w:rPr>
                <w:rFonts w:ascii="Tahoma" w:hAnsi="Tahoma" w:cs="Tahoma"/>
                <w:color w:val="000000"/>
                <w:sz w:val="22"/>
                <w:szCs w:val="22"/>
              </w:rPr>
            </w:pPr>
            <w:r w:rsidRPr="00C807EE">
              <w:rPr>
                <w:rFonts w:ascii="Tahoma" w:hAnsi="Tahoma" w:cs="Tahoma"/>
                <w:color w:val="000000"/>
                <w:sz w:val="22"/>
                <w:szCs w:val="22"/>
              </w:rPr>
              <w:t>1,30%</w:t>
            </w:r>
          </w:p>
        </w:tc>
        <w:tc>
          <w:tcPr>
            <w:tcW w:w="2266" w:type="dxa"/>
            <w:noWrap/>
            <w:hideMark/>
          </w:tcPr>
          <w:p w14:paraId="5D5F3BDC" w14:textId="77777777" w:rsidR="00C807EE" w:rsidRPr="00C807EE" w:rsidRDefault="00C807EE" w:rsidP="000C1B33">
            <w:pPr>
              <w:pStyle w:val="NormalWeb"/>
              <w:jc w:val="right"/>
              <w:rPr>
                <w:rFonts w:ascii="Tahoma" w:hAnsi="Tahoma" w:cs="Tahoma"/>
                <w:color w:val="000000"/>
                <w:sz w:val="22"/>
                <w:szCs w:val="22"/>
              </w:rPr>
            </w:pPr>
          </w:p>
        </w:tc>
      </w:tr>
      <w:tr w:rsidR="00C807EE" w:rsidRPr="00C807EE" w14:paraId="4BE20B58" w14:textId="77777777" w:rsidTr="00C807EE">
        <w:trPr>
          <w:trHeight w:val="290"/>
        </w:trPr>
        <w:tc>
          <w:tcPr>
            <w:tcW w:w="2265" w:type="dxa"/>
            <w:noWrap/>
            <w:hideMark/>
          </w:tcPr>
          <w:p w14:paraId="55B95CFB" w14:textId="0451A845" w:rsidR="00C807EE" w:rsidRPr="00C807EE" w:rsidRDefault="00C807EE" w:rsidP="00C807EE">
            <w:pPr>
              <w:pStyle w:val="NormalWeb"/>
              <w:rPr>
                <w:rFonts w:ascii="Tahoma" w:hAnsi="Tahoma" w:cs="Tahoma"/>
                <w:color w:val="000000"/>
                <w:sz w:val="22"/>
                <w:szCs w:val="22"/>
              </w:rPr>
            </w:pPr>
            <w:r w:rsidRPr="00C807EE">
              <w:rPr>
                <w:rFonts w:ascii="Tahoma" w:hAnsi="Tahoma" w:cs="Tahoma"/>
                <w:color w:val="000000"/>
                <w:sz w:val="22"/>
                <w:szCs w:val="22"/>
              </w:rPr>
              <w:t>Anuiteta</w:t>
            </w:r>
          </w:p>
        </w:tc>
        <w:tc>
          <w:tcPr>
            <w:tcW w:w="2265" w:type="dxa"/>
            <w:noWrap/>
            <w:hideMark/>
          </w:tcPr>
          <w:p w14:paraId="4330E92B" w14:textId="77777777" w:rsidR="00C807EE" w:rsidRPr="00C807EE" w:rsidRDefault="00C807EE" w:rsidP="000C1B33">
            <w:pPr>
              <w:pStyle w:val="NormalWeb"/>
              <w:jc w:val="right"/>
              <w:rPr>
                <w:rFonts w:ascii="Tahoma" w:hAnsi="Tahoma" w:cs="Tahoma"/>
                <w:color w:val="000000"/>
                <w:sz w:val="22"/>
                <w:szCs w:val="22"/>
              </w:rPr>
            </w:pPr>
            <w:r w:rsidRPr="00C807EE">
              <w:rPr>
                <w:rFonts w:ascii="Tahoma" w:hAnsi="Tahoma" w:cs="Tahoma"/>
                <w:color w:val="000000"/>
                <w:sz w:val="22"/>
                <w:szCs w:val="22"/>
              </w:rPr>
              <w:t xml:space="preserve">€487,16 </w:t>
            </w:r>
          </w:p>
        </w:tc>
        <w:tc>
          <w:tcPr>
            <w:tcW w:w="2266" w:type="dxa"/>
            <w:noWrap/>
            <w:hideMark/>
          </w:tcPr>
          <w:p w14:paraId="466DE43F" w14:textId="77777777" w:rsidR="00C807EE" w:rsidRPr="00C807EE" w:rsidRDefault="00C807EE" w:rsidP="000C1B33">
            <w:pPr>
              <w:pStyle w:val="NormalWeb"/>
              <w:jc w:val="right"/>
              <w:rPr>
                <w:rFonts w:ascii="Tahoma" w:hAnsi="Tahoma" w:cs="Tahoma"/>
                <w:color w:val="000000"/>
                <w:sz w:val="22"/>
                <w:szCs w:val="22"/>
              </w:rPr>
            </w:pPr>
            <w:r w:rsidRPr="00C807EE">
              <w:rPr>
                <w:rFonts w:ascii="Tahoma" w:hAnsi="Tahoma" w:cs="Tahoma"/>
                <w:color w:val="000000"/>
                <w:sz w:val="22"/>
                <w:szCs w:val="22"/>
              </w:rPr>
              <w:t xml:space="preserve">€549,60 </w:t>
            </w:r>
          </w:p>
        </w:tc>
        <w:tc>
          <w:tcPr>
            <w:tcW w:w="2266" w:type="dxa"/>
            <w:noWrap/>
            <w:hideMark/>
          </w:tcPr>
          <w:p w14:paraId="00DA25A0" w14:textId="77777777" w:rsidR="00C807EE" w:rsidRPr="00C807EE" w:rsidRDefault="00C807EE" w:rsidP="000C1B33">
            <w:pPr>
              <w:pStyle w:val="NormalWeb"/>
              <w:jc w:val="right"/>
              <w:rPr>
                <w:rFonts w:ascii="Tahoma" w:hAnsi="Tahoma" w:cs="Tahoma"/>
                <w:b/>
                <w:bCs/>
                <w:color w:val="000000"/>
                <w:sz w:val="22"/>
                <w:szCs w:val="22"/>
              </w:rPr>
            </w:pPr>
            <w:r w:rsidRPr="00C807EE">
              <w:rPr>
                <w:rFonts w:ascii="Tahoma" w:hAnsi="Tahoma" w:cs="Tahoma"/>
                <w:b/>
                <w:bCs/>
                <w:color w:val="000000"/>
                <w:sz w:val="22"/>
                <w:szCs w:val="22"/>
              </w:rPr>
              <w:t xml:space="preserve">€62,44 </w:t>
            </w:r>
          </w:p>
        </w:tc>
      </w:tr>
      <w:tr w:rsidR="00C807EE" w:rsidRPr="00C807EE" w14:paraId="19B04F0C" w14:textId="77777777" w:rsidTr="00C807EE">
        <w:trPr>
          <w:trHeight w:val="290"/>
        </w:trPr>
        <w:tc>
          <w:tcPr>
            <w:tcW w:w="2265" w:type="dxa"/>
            <w:noWrap/>
            <w:hideMark/>
          </w:tcPr>
          <w:p w14:paraId="603EAB1B" w14:textId="4A8EEBC8" w:rsidR="00C807EE" w:rsidRPr="00C807EE" w:rsidRDefault="00C807EE" w:rsidP="00C807EE">
            <w:pPr>
              <w:pStyle w:val="NormalWeb"/>
              <w:rPr>
                <w:rFonts w:ascii="Tahoma" w:hAnsi="Tahoma" w:cs="Tahoma"/>
                <w:b/>
                <w:bCs/>
                <w:color w:val="000000"/>
                <w:sz w:val="22"/>
                <w:szCs w:val="22"/>
              </w:rPr>
            </w:pPr>
            <w:r w:rsidRPr="00C807EE">
              <w:rPr>
                <w:rFonts w:ascii="Tahoma" w:hAnsi="Tahoma" w:cs="Tahoma"/>
                <w:b/>
                <w:bCs/>
                <w:color w:val="000000"/>
                <w:sz w:val="22"/>
                <w:szCs w:val="22"/>
              </w:rPr>
              <w:t>Obdobje odplačevanja 30 let:</w:t>
            </w:r>
          </w:p>
        </w:tc>
        <w:tc>
          <w:tcPr>
            <w:tcW w:w="2265" w:type="dxa"/>
            <w:noWrap/>
            <w:hideMark/>
          </w:tcPr>
          <w:p w14:paraId="5F3714FB" w14:textId="77777777" w:rsidR="00C807EE" w:rsidRPr="00C807EE" w:rsidRDefault="00C807EE" w:rsidP="000C1B33">
            <w:pPr>
              <w:pStyle w:val="NormalWeb"/>
              <w:jc w:val="right"/>
              <w:rPr>
                <w:rFonts w:ascii="Tahoma" w:hAnsi="Tahoma" w:cs="Tahoma"/>
                <w:b/>
                <w:bCs/>
                <w:color w:val="000000"/>
                <w:sz w:val="22"/>
                <w:szCs w:val="22"/>
              </w:rPr>
            </w:pPr>
            <w:r w:rsidRPr="00C807EE">
              <w:rPr>
                <w:rFonts w:ascii="Tahoma" w:hAnsi="Tahoma" w:cs="Tahoma"/>
                <w:b/>
                <w:bCs/>
                <w:color w:val="000000"/>
                <w:sz w:val="22"/>
                <w:szCs w:val="22"/>
              </w:rPr>
              <w:t>360 mesecev</w:t>
            </w:r>
          </w:p>
        </w:tc>
        <w:tc>
          <w:tcPr>
            <w:tcW w:w="2266" w:type="dxa"/>
            <w:noWrap/>
            <w:hideMark/>
          </w:tcPr>
          <w:p w14:paraId="5F2CC9C8" w14:textId="77777777" w:rsidR="00C807EE" w:rsidRPr="00C807EE" w:rsidRDefault="00C807EE" w:rsidP="000C1B33">
            <w:pPr>
              <w:pStyle w:val="NormalWeb"/>
              <w:jc w:val="right"/>
              <w:rPr>
                <w:rFonts w:ascii="Tahoma" w:hAnsi="Tahoma" w:cs="Tahoma"/>
                <w:b/>
                <w:bCs/>
                <w:color w:val="000000"/>
                <w:sz w:val="22"/>
                <w:szCs w:val="22"/>
              </w:rPr>
            </w:pPr>
            <w:r w:rsidRPr="00C807EE">
              <w:rPr>
                <w:rFonts w:ascii="Tahoma" w:hAnsi="Tahoma" w:cs="Tahoma"/>
                <w:b/>
                <w:bCs/>
                <w:color w:val="000000"/>
                <w:sz w:val="22"/>
                <w:szCs w:val="22"/>
              </w:rPr>
              <w:t>360 mesecev</w:t>
            </w:r>
          </w:p>
        </w:tc>
        <w:tc>
          <w:tcPr>
            <w:tcW w:w="2266" w:type="dxa"/>
            <w:noWrap/>
            <w:hideMark/>
          </w:tcPr>
          <w:p w14:paraId="5445ED60" w14:textId="1901C17B" w:rsidR="00C807EE" w:rsidRPr="00C807EE" w:rsidRDefault="00C807EE" w:rsidP="000C1B33">
            <w:pPr>
              <w:pStyle w:val="NormalWeb"/>
              <w:jc w:val="right"/>
              <w:rPr>
                <w:rFonts w:ascii="Tahoma" w:hAnsi="Tahoma" w:cs="Tahoma"/>
                <w:b/>
                <w:bCs/>
                <w:color w:val="000000"/>
                <w:sz w:val="22"/>
                <w:szCs w:val="22"/>
              </w:rPr>
            </w:pPr>
          </w:p>
        </w:tc>
      </w:tr>
      <w:tr w:rsidR="00C807EE" w:rsidRPr="00C807EE" w14:paraId="326270C0" w14:textId="77777777" w:rsidTr="00C807EE">
        <w:trPr>
          <w:trHeight w:val="290"/>
        </w:trPr>
        <w:tc>
          <w:tcPr>
            <w:tcW w:w="2265" w:type="dxa"/>
            <w:noWrap/>
            <w:hideMark/>
          </w:tcPr>
          <w:p w14:paraId="1BD54AAA" w14:textId="01D2AABB" w:rsidR="00C807EE" w:rsidRPr="00C807EE" w:rsidRDefault="00C807EE" w:rsidP="00C807EE">
            <w:pPr>
              <w:pStyle w:val="NormalWeb"/>
              <w:rPr>
                <w:rFonts w:ascii="Tahoma" w:hAnsi="Tahoma" w:cs="Tahoma"/>
                <w:color w:val="000000"/>
                <w:sz w:val="22"/>
                <w:szCs w:val="22"/>
              </w:rPr>
            </w:pPr>
            <w:r w:rsidRPr="00C807EE">
              <w:rPr>
                <w:rFonts w:ascii="Tahoma" w:hAnsi="Tahoma" w:cs="Tahoma"/>
                <w:color w:val="000000"/>
                <w:sz w:val="22"/>
                <w:szCs w:val="22"/>
              </w:rPr>
              <w:t>Fiksni pribitek v variabilni obrestni meri:</w:t>
            </w:r>
          </w:p>
        </w:tc>
        <w:tc>
          <w:tcPr>
            <w:tcW w:w="2265" w:type="dxa"/>
            <w:noWrap/>
            <w:hideMark/>
          </w:tcPr>
          <w:p w14:paraId="609E2449" w14:textId="77777777" w:rsidR="00C807EE" w:rsidRPr="00C807EE" w:rsidRDefault="00C807EE" w:rsidP="000C1B33">
            <w:pPr>
              <w:pStyle w:val="NormalWeb"/>
              <w:jc w:val="right"/>
              <w:rPr>
                <w:rFonts w:ascii="Tahoma" w:hAnsi="Tahoma" w:cs="Tahoma"/>
                <w:color w:val="000000"/>
                <w:sz w:val="22"/>
                <w:szCs w:val="22"/>
              </w:rPr>
            </w:pPr>
            <w:r w:rsidRPr="00C807EE">
              <w:rPr>
                <w:rFonts w:ascii="Tahoma" w:hAnsi="Tahoma" w:cs="Tahoma"/>
                <w:color w:val="000000"/>
                <w:sz w:val="22"/>
                <w:szCs w:val="22"/>
              </w:rPr>
              <w:t>1,60%</w:t>
            </w:r>
          </w:p>
        </w:tc>
        <w:tc>
          <w:tcPr>
            <w:tcW w:w="2266" w:type="dxa"/>
            <w:noWrap/>
            <w:hideMark/>
          </w:tcPr>
          <w:p w14:paraId="2DE2FE21" w14:textId="77777777" w:rsidR="00C807EE" w:rsidRPr="00C807EE" w:rsidRDefault="00C807EE" w:rsidP="000C1B33">
            <w:pPr>
              <w:pStyle w:val="NormalWeb"/>
              <w:jc w:val="right"/>
              <w:rPr>
                <w:rFonts w:ascii="Tahoma" w:hAnsi="Tahoma" w:cs="Tahoma"/>
                <w:color w:val="000000"/>
                <w:sz w:val="22"/>
                <w:szCs w:val="22"/>
              </w:rPr>
            </w:pPr>
            <w:r w:rsidRPr="00C807EE">
              <w:rPr>
                <w:rFonts w:ascii="Tahoma" w:hAnsi="Tahoma" w:cs="Tahoma"/>
                <w:color w:val="000000"/>
                <w:sz w:val="22"/>
                <w:szCs w:val="22"/>
              </w:rPr>
              <w:t>1,60%</w:t>
            </w:r>
          </w:p>
        </w:tc>
        <w:tc>
          <w:tcPr>
            <w:tcW w:w="2266" w:type="dxa"/>
            <w:noWrap/>
            <w:hideMark/>
          </w:tcPr>
          <w:p w14:paraId="783C0A42" w14:textId="77777777" w:rsidR="00C807EE" w:rsidRPr="00C807EE" w:rsidRDefault="00C807EE" w:rsidP="000C1B33">
            <w:pPr>
              <w:pStyle w:val="NormalWeb"/>
              <w:jc w:val="right"/>
              <w:rPr>
                <w:rFonts w:ascii="Tahoma" w:hAnsi="Tahoma" w:cs="Tahoma"/>
                <w:color w:val="000000"/>
                <w:sz w:val="22"/>
                <w:szCs w:val="22"/>
              </w:rPr>
            </w:pPr>
          </w:p>
        </w:tc>
      </w:tr>
      <w:tr w:rsidR="00C807EE" w:rsidRPr="00C807EE" w14:paraId="62C4ED96" w14:textId="77777777" w:rsidTr="00C807EE">
        <w:trPr>
          <w:trHeight w:val="290"/>
        </w:trPr>
        <w:tc>
          <w:tcPr>
            <w:tcW w:w="2265" w:type="dxa"/>
            <w:noWrap/>
            <w:hideMark/>
          </w:tcPr>
          <w:p w14:paraId="058C4973" w14:textId="77777777" w:rsidR="00C807EE" w:rsidRPr="00C807EE" w:rsidRDefault="00C807EE" w:rsidP="00C807EE">
            <w:pPr>
              <w:pStyle w:val="NormalWeb"/>
              <w:rPr>
                <w:rFonts w:ascii="Tahoma" w:hAnsi="Tahoma" w:cs="Tahoma"/>
                <w:color w:val="000000"/>
                <w:sz w:val="22"/>
                <w:szCs w:val="22"/>
              </w:rPr>
            </w:pPr>
            <w:r w:rsidRPr="00C807EE">
              <w:rPr>
                <w:rFonts w:ascii="Tahoma" w:hAnsi="Tahoma" w:cs="Tahoma"/>
                <w:color w:val="000000"/>
                <w:sz w:val="22"/>
                <w:szCs w:val="22"/>
              </w:rPr>
              <w:t>6m EURIBOR</w:t>
            </w:r>
          </w:p>
        </w:tc>
        <w:tc>
          <w:tcPr>
            <w:tcW w:w="2265" w:type="dxa"/>
            <w:noWrap/>
            <w:hideMark/>
          </w:tcPr>
          <w:p w14:paraId="71EA7021" w14:textId="77777777" w:rsidR="00C807EE" w:rsidRPr="00C807EE" w:rsidRDefault="00C807EE" w:rsidP="000C1B33">
            <w:pPr>
              <w:pStyle w:val="NormalWeb"/>
              <w:jc w:val="right"/>
              <w:rPr>
                <w:rFonts w:ascii="Tahoma" w:hAnsi="Tahoma" w:cs="Tahoma"/>
                <w:color w:val="000000"/>
                <w:sz w:val="22"/>
                <w:szCs w:val="22"/>
              </w:rPr>
            </w:pPr>
            <w:r w:rsidRPr="00C807EE">
              <w:rPr>
                <w:rFonts w:ascii="Tahoma" w:hAnsi="Tahoma" w:cs="Tahoma"/>
                <w:color w:val="000000"/>
                <w:sz w:val="22"/>
                <w:szCs w:val="22"/>
              </w:rPr>
              <w:t>0,00%</w:t>
            </w:r>
          </w:p>
        </w:tc>
        <w:tc>
          <w:tcPr>
            <w:tcW w:w="2266" w:type="dxa"/>
            <w:noWrap/>
            <w:hideMark/>
          </w:tcPr>
          <w:p w14:paraId="49DC9A66" w14:textId="77777777" w:rsidR="00C807EE" w:rsidRPr="00C807EE" w:rsidRDefault="00C807EE" w:rsidP="000C1B33">
            <w:pPr>
              <w:pStyle w:val="NormalWeb"/>
              <w:jc w:val="right"/>
              <w:rPr>
                <w:rFonts w:ascii="Tahoma" w:hAnsi="Tahoma" w:cs="Tahoma"/>
                <w:color w:val="000000"/>
                <w:sz w:val="22"/>
                <w:szCs w:val="22"/>
              </w:rPr>
            </w:pPr>
            <w:r w:rsidRPr="00C807EE">
              <w:rPr>
                <w:rFonts w:ascii="Tahoma" w:hAnsi="Tahoma" w:cs="Tahoma"/>
                <w:color w:val="000000"/>
                <w:sz w:val="22"/>
                <w:szCs w:val="22"/>
              </w:rPr>
              <w:t>1,30%</w:t>
            </w:r>
          </w:p>
        </w:tc>
        <w:tc>
          <w:tcPr>
            <w:tcW w:w="2266" w:type="dxa"/>
            <w:noWrap/>
            <w:hideMark/>
          </w:tcPr>
          <w:p w14:paraId="2F1C1100" w14:textId="77777777" w:rsidR="00C807EE" w:rsidRPr="00C807EE" w:rsidRDefault="00C807EE" w:rsidP="000C1B33">
            <w:pPr>
              <w:pStyle w:val="NormalWeb"/>
              <w:jc w:val="right"/>
              <w:rPr>
                <w:rFonts w:ascii="Tahoma" w:hAnsi="Tahoma" w:cs="Tahoma"/>
                <w:color w:val="000000"/>
                <w:sz w:val="22"/>
                <w:szCs w:val="22"/>
              </w:rPr>
            </w:pPr>
          </w:p>
        </w:tc>
      </w:tr>
      <w:tr w:rsidR="00C807EE" w:rsidRPr="00C807EE" w14:paraId="09621350" w14:textId="77777777" w:rsidTr="00C807EE">
        <w:trPr>
          <w:trHeight w:val="290"/>
        </w:trPr>
        <w:tc>
          <w:tcPr>
            <w:tcW w:w="2265" w:type="dxa"/>
            <w:noWrap/>
            <w:hideMark/>
          </w:tcPr>
          <w:p w14:paraId="3047D915" w14:textId="5149F12E" w:rsidR="00C807EE" w:rsidRPr="00C807EE" w:rsidRDefault="00C807EE" w:rsidP="00C807EE">
            <w:pPr>
              <w:pStyle w:val="NormalWeb"/>
              <w:rPr>
                <w:rFonts w:ascii="Tahoma" w:hAnsi="Tahoma" w:cs="Tahoma"/>
                <w:b/>
                <w:bCs/>
                <w:color w:val="000000"/>
                <w:sz w:val="22"/>
                <w:szCs w:val="22"/>
              </w:rPr>
            </w:pPr>
            <w:r w:rsidRPr="002D4660">
              <w:rPr>
                <w:rFonts w:ascii="Tahoma" w:hAnsi="Tahoma" w:cs="Tahoma"/>
                <w:b/>
                <w:bCs/>
                <w:color w:val="000000"/>
                <w:sz w:val="22"/>
                <w:szCs w:val="22"/>
              </w:rPr>
              <w:t>A</w:t>
            </w:r>
            <w:r w:rsidRPr="00C807EE">
              <w:rPr>
                <w:rFonts w:ascii="Tahoma" w:hAnsi="Tahoma" w:cs="Tahoma"/>
                <w:b/>
                <w:bCs/>
                <w:color w:val="000000"/>
                <w:sz w:val="22"/>
                <w:szCs w:val="22"/>
              </w:rPr>
              <w:t>nuiteta</w:t>
            </w:r>
          </w:p>
        </w:tc>
        <w:tc>
          <w:tcPr>
            <w:tcW w:w="2265" w:type="dxa"/>
            <w:noWrap/>
            <w:hideMark/>
          </w:tcPr>
          <w:p w14:paraId="4F5FC33C" w14:textId="77777777" w:rsidR="00C807EE" w:rsidRPr="00C807EE" w:rsidRDefault="00C807EE" w:rsidP="000C1B33">
            <w:pPr>
              <w:pStyle w:val="NormalWeb"/>
              <w:jc w:val="right"/>
              <w:rPr>
                <w:rFonts w:ascii="Tahoma" w:hAnsi="Tahoma" w:cs="Tahoma"/>
                <w:b/>
                <w:bCs/>
                <w:color w:val="000000"/>
                <w:sz w:val="22"/>
                <w:szCs w:val="22"/>
              </w:rPr>
            </w:pPr>
            <w:r w:rsidRPr="00C807EE">
              <w:rPr>
                <w:rFonts w:ascii="Tahoma" w:hAnsi="Tahoma" w:cs="Tahoma"/>
                <w:b/>
                <w:bCs/>
                <w:color w:val="000000"/>
                <w:sz w:val="22"/>
                <w:szCs w:val="22"/>
              </w:rPr>
              <w:t xml:space="preserve">€349,94 </w:t>
            </w:r>
          </w:p>
        </w:tc>
        <w:tc>
          <w:tcPr>
            <w:tcW w:w="2266" w:type="dxa"/>
            <w:noWrap/>
            <w:hideMark/>
          </w:tcPr>
          <w:p w14:paraId="27D1AF03" w14:textId="77777777" w:rsidR="00C807EE" w:rsidRPr="00C807EE" w:rsidRDefault="00C807EE" w:rsidP="000C1B33">
            <w:pPr>
              <w:pStyle w:val="NormalWeb"/>
              <w:jc w:val="right"/>
              <w:rPr>
                <w:rFonts w:ascii="Tahoma" w:hAnsi="Tahoma" w:cs="Tahoma"/>
                <w:b/>
                <w:bCs/>
                <w:color w:val="000000"/>
                <w:sz w:val="22"/>
                <w:szCs w:val="22"/>
              </w:rPr>
            </w:pPr>
            <w:r w:rsidRPr="00C807EE">
              <w:rPr>
                <w:rFonts w:ascii="Tahoma" w:hAnsi="Tahoma" w:cs="Tahoma"/>
                <w:b/>
                <w:bCs/>
                <w:color w:val="000000"/>
                <w:sz w:val="22"/>
                <w:szCs w:val="22"/>
              </w:rPr>
              <w:t xml:space="preserve">€416,23 </w:t>
            </w:r>
          </w:p>
        </w:tc>
        <w:tc>
          <w:tcPr>
            <w:tcW w:w="2266" w:type="dxa"/>
            <w:noWrap/>
            <w:hideMark/>
          </w:tcPr>
          <w:p w14:paraId="3233D43E" w14:textId="77777777" w:rsidR="00C807EE" w:rsidRPr="00C807EE" w:rsidRDefault="00C807EE" w:rsidP="000C1B33">
            <w:pPr>
              <w:pStyle w:val="NormalWeb"/>
              <w:jc w:val="right"/>
              <w:rPr>
                <w:rFonts w:ascii="Tahoma" w:hAnsi="Tahoma" w:cs="Tahoma"/>
                <w:b/>
                <w:bCs/>
                <w:color w:val="000000"/>
                <w:sz w:val="22"/>
                <w:szCs w:val="22"/>
              </w:rPr>
            </w:pPr>
            <w:r w:rsidRPr="00C807EE">
              <w:rPr>
                <w:rFonts w:ascii="Tahoma" w:hAnsi="Tahoma" w:cs="Tahoma"/>
                <w:b/>
                <w:bCs/>
                <w:color w:val="000000"/>
                <w:sz w:val="22"/>
                <w:szCs w:val="22"/>
              </w:rPr>
              <w:t xml:space="preserve">€66,29 </w:t>
            </w:r>
          </w:p>
        </w:tc>
      </w:tr>
    </w:tbl>
    <w:p w14:paraId="5D91AF91" w14:textId="124719BE" w:rsidR="00C807EE" w:rsidRDefault="002D4660" w:rsidP="00002162">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Pri kreditu v višini 50.000 EUR se zaradi dviga EURIBOR-ja iz 0% na 1,3% obrok kredita dvigne za 31,22 EUR v primeru kredita z dobo odplačevanja 20 let, pri 30-letnem kreditu pa za 33,14 EUR.</w:t>
      </w:r>
    </w:p>
    <w:p w14:paraId="4CB33716" w14:textId="3CE27613" w:rsidR="002D4660" w:rsidRDefault="002D4660" w:rsidP="00002162">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lastRenderedPageBreak/>
        <w:t>Pri kreditu v višini 100.000 EUR se zradi dviga EURIBOR-ja iz 0% na 1,3% obrok kredita dvigne za 62,44 EUR v primeru kredita z dobo odplačevanja 20 let, pri 30-letnem kreditu pa za 66,29 EUR.</w:t>
      </w:r>
    </w:p>
    <w:p w14:paraId="549A6297" w14:textId="3E3B5AA6" w:rsidR="00EE214E" w:rsidRPr="008B34FE" w:rsidRDefault="0084597C" w:rsidP="00002162">
      <w:pPr>
        <w:pStyle w:val="NormalWeb"/>
        <w:shd w:val="clear" w:color="auto" w:fill="FFFFFF"/>
        <w:jc w:val="both"/>
        <w:rPr>
          <w:rFonts w:ascii="Tahoma" w:hAnsi="Tahoma" w:cs="Tahoma"/>
          <w:color w:val="000000"/>
          <w:sz w:val="22"/>
          <w:szCs w:val="22"/>
        </w:rPr>
      </w:pPr>
      <w:r w:rsidRPr="008B34FE">
        <w:rPr>
          <w:rFonts w:ascii="Tahoma" w:hAnsi="Tahoma" w:cs="Tahoma"/>
          <w:color w:val="000000"/>
          <w:sz w:val="22"/>
          <w:szCs w:val="22"/>
        </w:rPr>
        <w:t xml:space="preserve">Dvig </w:t>
      </w:r>
      <w:r w:rsidR="00F94E78" w:rsidRPr="008B34FE">
        <w:rPr>
          <w:rFonts w:ascii="Tahoma" w:hAnsi="Tahoma" w:cs="Tahoma"/>
          <w:color w:val="000000"/>
          <w:sz w:val="22"/>
          <w:szCs w:val="22"/>
        </w:rPr>
        <w:t>mesečne anuitete kredita</w:t>
      </w:r>
      <w:r w:rsidRPr="008B34FE">
        <w:rPr>
          <w:rFonts w:ascii="Tahoma" w:hAnsi="Tahoma" w:cs="Tahoma"/>
          <w:color w:val="000000"/>
          <w:sz w:val="22"/>
          <w:szCs w:val="22"/>
        </w:rPr>
        <w:t xml:space="preserve"> </w:t>
      </w:r>
      <w:r w:rsidR="002F43F0" w:rsidRPr="008B34FE">
        <w:rPr>
          <w:rFonts w:ascii="Tahoma" w:hAnsi="Tahoma" w:cs="Tahoma"/>
          <w:color w:val="000000"/>
          <w:sz w:val="22"/>
          <w:szCs w:val="22"/>
        </w:rPr>
        <w:t>bodo najprej občutili tisti</w:t>
      </w:r>
      <w:r w:rsidRPr="008B34FE">
        <w:rPr>
          <w:rFonts w:ascii="Tahoma" w:hAnsi="Tahoma" w:cs="Tahoma"/>
          <w:color w:val="000000"/>
          <w:sz w:val="22"/>
          <w:szCs w:val="22"/>
        </w:rPr>
        <w:t xml:space="preserve">, ki imajo dolgoročni kredit in so na začetku njegovega odplačevanja. V začetni fazi je namreč obrok v glavnem sestavljen iz obresti, na koncu pa večji del obroka predstavlja odplačilo glavnice. </w:t>
      </w:r>
      <w:r w:rsidR="00F94E78" w:rsidRPr="008B34FE">
        <w:rPr>
          <w:rFonts w:ascii="Tahoma" w:hAnsi="Tahoma" w:cs="Tahoma"/>
          <w:color w:val="000000"/>
          <w:sz w:val="22"/>
          <w:szCs w:val="22"/>
        </w:rPr>
        <w:t xml:space="preserve">Na splošno velja, da je za dolgoročnejše kredite (npr. za nakup ali izgradnjo nepremičnine) bolj smiselno vzeti kredit s fiksno obrestno mero, za kratkoročnejše, potrošniške kredite pa morda tudi kredit z variabilno obrestno mero, ki je v času najema kredita nižja od </w:t>
      </w:r>
      <w:r w:rsidR="00821AD9" w:rsidRPr="008B34FE">
        <w:rPr>
          <w:rFonts w:ascii="Tahoma" w:hAnsi="Tahoma" w:cs="Tahoma"/>
          <w:color w:val="000000"/>
          <w:sz w:val="22"/>
          <w:szCs w:val="22"/>
        </w:rPr>
        <w:t xml:space="preserve">obrestne mere kredita s fiksno obrestno mero, vendar pri tem obstaja tveganje njenega dviga, ki z daljšanjem ročnosti narašča. Ravno zato je pri vprašanju, katero obrestno mero izbrati, poleg ročnosti kredita potrebno upoštevati tudi znesek, svoj proračun in nagnjenost k finančnim tveganjem. </w:t>
      </w:r>
      <w:r w:rsidR="00EE214E" w:rsidRPr="00EE214E">
        <w:rPr>
          <w:rFonts w:ascii="Tahoma" w:hAnsi="Tahoma" w:cs="Tahoma"/>
          <w:color w:val="000000"/>
          <w:sz w:val="22"/>
          <w:szCs w:val="22"/>
        </w:rPr>
        <w:t>Banke</w:t>
      </w:r>
      <w:r w:rsidR="00821AD9" w:rsidRPr="008B34FE">
        <w:rPr>
          <w:rFonts w:ascii="Tahoma" w:hAnsi="Tahoma" w:cs="Tahoma"/>
          <w:color w:val="000000"/>
          <w:sz w:val="22"/>
          <w:szCs w:val="22"/>
        </w:rPr>
        <w:t xml:space="preserve"> in hranilnice</w:t>
      </w:r>
      <w:r w:rsidR="007F7A6B" w:rsidRPr="008B34FE">
        <w:rPr>
          <w:rFonts w:ascii="Tahoma" w:hAnsi="Tahoma" w:cs="Tahoma"/>
          <w:color w:val="000000"/>
          <w:sz w:val="22"/>
          <w:szCs w:val="22"/>
        </w:rPr>
        <w:t xml:space="preserve"> že na svojih spletnih straneh</w:t>
      </w:r>
      <w:r w:rsidR="00821AD9" w:rsidRPr="008B34FE">
        <w:rPr>
          <w:rFonts w:ascii="Tahoma" w:hAnsi="Tahoma" w:cs="Tahoma"/>
          <w:color w:val="000000"/>
          <w:sz w:val="22"/>
          <w:szCs w:val="22"/>
        </w:rPr>
        <w:t xml:space="preserve"> </w:t>
      </w:r>
      <w:r w:rsidR="007F7A6B" w:rsidRPr="008B34FE">
        <w:rPr>
          <w:rFonts w:ascii="Tahoma" w:hAnsi="Tahoma" w:cs="Tahoma"/>
          <w:color w:val="000000"/>
          <w:sz w:val="22"/>
          <w:szCs w:val="22"/>
        </w:rPr>
        <w:t xml:space="preserve">ponujajo </w:t>
      </w:r>
      <w:r w:rsidR="00EE214E" w:rsidRPr="00EE214E">
        <w:rPr>
          <w:rFonts w:ascii="Tahoma" w:hAnsi="Tahoma" w:cs="Tahoma"/>
          <w:color w:val="000000"/>
          <w:sz w:val="22"/>
          <w:szCs w:val="22"/>
        </w:rPr>
        <w:t xml:space="preserve">informativne izračune za primerjavo spremenljive in </w:t>
      </w:r>
      <w:r w:rsidR="00821AD9" w:rsidRPr="008B34FE">
        <w:rPr>
          <w:rFonts w:ascii="Tahoma" w:hAnsi="Tahoma" w:cs="Tahoma"/>
          <w:color w:val="000000"/>
          <w:sz w:val="22"/>
          <w:szCs w:val="22"/>
        </w:rPr>
        <w:t>fiksne</w:t>
      </w:r>
      <w:r w:rsidR="00EE214E" w:rsidRPr="00EE214E">
        <w:rPr>
          <w:rFonts w:ascii="Tahoma" w:hAnsi="Tahoma" w:cs="Tahoma"/>
          <w:color w:val="000000"/>
          <w:sz w:val="22"/>
          <w:szCs w:val="22"/>
        </w:rPr>
        <w:t xml:space="preserve"> obrestne mere, za konkretn</w:t>
      </w:r>
      <w:r w:rsidR="00821AD9" w:rsidRPr="008B34FE">
        <w:rPr>
          <w:rFonts w:ascii="Tahoma" w:hAnsi="Tahoma" w:cs="Tahoma"/>
          <w:color w:val="000000"/>
          <w:sz w:val="22"/>
          <w:szCs w:val="22"/>
        </w:rPr>
        <w:t>e</w:t>
      </w:r>
      <w:r w:rsidR="00EE214E" w:rsidRPr="00EE214E">
        <w:rPr>
          <w:rFonts w:ascii="Tahoma" w:hAnsi="Tahoma" w:cs="Tahoma"/>
          <w:color w:val="000000"/>
          <w:sz w:val="22"/>
          <w:szCs w:val="22"/>
        </w:rPr>
        <w:t xml:space="preserve"> primer</w:t>
      </w:r>
      <w:r w:rsidR="00821AD9" w:rsidRPr="008B34FE">
        <w:rPr>
          <w:rFonts w:ascii="Tahoma" w:hAnsi="Tahoma" w:cs="Tahoma"/>
          <w:color w:val="000000"/>
          <w:sz w:val="22"/>
          <w:szCs w:val="22"/>
        </w:rPr>
        <w:t>e in življenjske situacije</w:t>
      </w:r>
      <w:r w:rsidR="00EE214E" w:rsidRPr="00EE214E">
        <w:rPr>
          <w:rFonts w:ascii="Tahoma" w:hAnsi="Tahoma" w:cs="Tahoma"/>
          <w:color w:val="000000"/>
          <w:sz w:val="22"/>
          <w:szCs w:val="22"/>
        </w:rPr>
        <w:t xml:space="preserve"> pa je treba pri banki</w:t>
      </w:r>
      <w:r w:rsidR="00821AD9" w:rsidRPr="008B34FE">
        <w:rPr>
          <w:rFonts w:ascii="Tahoma" w:hAnsi="Tahoma" w:cs="Tahoma"/>
          <w:color w:val="000000"/>
          <w:sz w:val="22"/>
          <w:szCs w:val="22"/>
        </w:rPr>
        <w:t xml:space="preserve"> ali še bolje več njih</w:t>
      </w:r>
      <w:r w:rsidR="00EE214E" w:rsidRPr="00EE214E">
        <w:rPr>
          <w:rFonts w:ascii="Tahoma" w:hAnsi="Tahoma" w:cs="Tahoma"/>
          <w:color w:val="000000"/>
          <w:sz w:val="22"/>
          <w:szCs w:val="22"/>
        </w:rPr>
        <w:t xml:space="preserve"> pridobiti individualno ponudbo. Ali naj posojilojemalec zaprosi za spremembo iz ene v drugo obrestno mero, za znižanje obrestne mere, reprogram kredita ali (delno) predčasno poplačilo kredita, je odvisno tako od stanja</w:t>
      </w:r>
      <w:r w:rsidR="00821AD9" w:rsidRPr="008B34FE">
        <w:rPr>
          <w:rFonts w:ascii="Tahoma" w:hAnsi="Tahoma" w:cs="Tahoma"/>
          <w:color w:val="000000"/>
          <w:sz w:val="22"/>
          <w:szCs w:val="22"/>
        </w:rPr>
        <w:t xml:space="preserve"> kredita (začetna faza ali zaključna faza)</w:t>
      </w:r>
      <w:r w:rsidR="00EE214E" w:rsidRPr="00EE214E">
        <w:rPr>
          <w:rFonts w:ascii="Tahoma" w:hAnsi="Tahoma" w:cs="Tahoma"/>
          <w:color w:val="000000"/>
          <w:sz w:val="22"/>
          <w:szCs w:val="22"/>
        </w:rPr>
        <w:t xml:space="preserve"> in stroškov, ki jih za takšne spremembe zaračuna posamezna banka.</w:t>
      </w:r>
      <w:r w:rsidR="00821AD9" w:rsidRPr="008B34FE">
        <w:rPr>
          <w:rFonts w:ascii="Tahoma" w:hAnsi="Tahoma" w:cs="Tahoma"/>
          <w:color w:val="000000"/>
          <w:sz w:val="22"/>
          <w:szCs w:val="22"/>
        </w:rPr>
        <w:t xml:space="preserve"> </w:t>
      </w:r>
    </w:p>
    <w:p w14:paraId="285AC99B" w14:textId="39C6E2E7" w:rsidR="00D97C09" w:rsidRDefault="00D97C09" w:rsidP="00002162">
      <w:pPr>
        <w:pStyle w:val="NormalWeb"/>
        <w:shd w:val="clear" w:color="auto" w:fill="FFFFFF"/>
        <w:jc w:val="both"/>
        <w:rPr>
          <w:rFonts w:ascii="Tahoma" w:hAnsi="Tahoma" w:cs="Tahoma"/>
          <w:color w:val="000000"/>
          <w:sz w:val="22"/>
          <w:szCs w:val="22"/>
        </w:rPr>
      </w:pPr>
      <w:r w:rsidRPr="008B34FE">
        <w:rPr>
          <w:rFonts w:ascii="Tahoma" w:hAnsi="Tahoma" w:cs="Tahoma"/>
          <w:color w:val="000000"/>
          <w:sz w:val="22"/>
          <w:szCs w:val="22"/>
        </w:rPr>
        <w:t>Ker podatkov o kreditiranju prebivalstva ne zbiramo v zvezi s tem navajamo zadnje podatke Banke Slovenije, dostopne v publikaciji Mesečna informacija o poslovanju bank avgust 2022</w:t>
      </w:r>
      <w:r w:rsidR="000B5E27" w:rsidRPr="008B34FE">
        <w:rPr>
          <w:rFonts w:ascii="Tahoma" w:hAnsi="Tahoma" w:cs="Tahoma"/>
          <w:color w:val="000000"/>
          <w:sz w:val="22"/>
          <w:szCs w:val="22"/>
        </w:rPr>
        <w:t xml:space="preserve"> iz katerih izhaja, da se je zviševanje medletne rasti kreditov pričelo umirjati, junija je bila zabeležena 10,7% rast, obseg </w:t>
      </w:r>
      <w:r w:rsidRPr="008B34FE">
        <w:rPr>
          <w:rFonts w:ascii="Tahoma" w:hAnsi="Tahoma" w:cs="Tahoma"/>
          <w:color w:val="000000"/>
          <w:sz w:val="22"/>
          <w:szCs w:val="22"/>
        </w:rPr>
        <w:t xml:space="preserve">posojil se je junija povečal manj (za 219 mio EUR) kot v prvih petih mesecih letos. Po skupinah komitentov je še naprej prevladovalo kreditiranje gospodinjstev, pri katerih je bil mesečni prirast stanovanjskih posojil z 98 mio EUR nadpovprečen glede na letošnjih prvih pet mesecev, v večletni primerjavi pa precej večji. Medletna rast stanovanjskih posojil se je junija še nekoliko okrepila (na 11,9 %) in ostala med najvišjimi v evrskem območju. Obseg potrošniških posojil je junija ostal medletno nekoliko nižji (za 2,5%), a se medletni upad v zadnjem letu postopno znižuje; v evrskem območju pa je povprečna rast znašala 3,3 %. </w:t>
      </w:r>
    </w:p>
    <w:p w14:paraId="11C1754C" w14:textId="481083E6" w:rsidR="00F538F5" w:rsidRDefault="00F538F5" w:rsidP="00002162">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 xml:space="preserve">Primerjava slovenskih obrestnih mer za nove kreditne posle za gospodinjstva, je na voljo na spletni strani Banke Slovenije v publikaciji Mesečna informacija o poslovanju bank avgust 2022, v Tabeli 4 za kredite z variabilno obrestno mero in v Tabeli 5 za kredite s fiksno obrestno mero in sicer na povezavi </w:t>
      </w:r>
      <w:hyperlink r:id="rId10" w:history="1">
        <w:r w:rsidR="00F128CB" w:rsidRPr="00717B38">
          <w:rPr>
            <w:rStyle w:val="Hyperlink"/>
            <w:rFonts w:ascii="Tahoma" w:hAnsi="Tahoma" w:cs="Tahoma"/>
            <w:sz w:val="22"/>
            <w:szCs w:val="22"/>
          </w:rPr>
          <w:t>https://bankaslovenije.blob.core.windows.net/publication-files/mesecna_informacija_avgust_22.pdf</w:t>
        </w:r>
      </w:hyperlink>
      <w:r w:rsidR="00BA0B2C">
        <w:rPr>
          <w:rStyle w:val="Hyperlink"/>
          <w:rFonts w:ascii="Tahoma" w:hAnsi="Tahoma" w:cs="Tahoma"/>
          <w:sz w:val="22"/>
          <w:szCs w:val="22"/>
        </w:rPr>
        <w:t>.</w:t>
      </w:r>
    </w:p>
    <w:p w14:paraId="41C51538" w14:textId="6857B523" w:rsidR="00EE214E" w:rsidRPr="00EE214E" w:rsidRDefault="00EE214E" w:rsidP="00002162">
      <w:pPr>
        <w:pStyle w:val="NormalWeb"/>
        <w:shd w:val="clear" w:color="auto" w:fill="FFFFFF"/>
        <w:jc w:val="both"/>
        <w:rPr>
          <w:rFonts w:ascii="Tahoma" w:hAnsi="Tahoma" w:cs="Tahoma"/>
          <w:color w:val="000000"/>
          <w:sz w:val="22"/>
          <w:szCs w:val="22"/>
        </w:rPr>
      </w:pPr>
      <w:r w:rsidRPr="00EE214E">
        <w:rPr>
          <w:rFonts w:ascii="Tahoma" w:hAnsi="Tahoma" w:cs="Tahoma"/>
          <w:color w:val="000000"/>
          <w:sz w:val="22"/>
          <w:szCs w:val="22"/>
        </w:rPr>
        <w:t>Banke so v zadnjem obdobju okrepile delež fiksno obrestovanih posojil gospodinjstvom. Po podatkih Banke Slovenije</w:t>
      </w:r>
      <w:r w:rsidR="00A068D1">
        <w:rPr>
          <w:rFonts w:ascii="Tahoma" w:hAnsi="Tahoma" w:cs="Tahoma"/>
          <w:color w:val="000000"/>
          <w:sz w:val="22"/>
          <w:szCs w:val="22"/>
        </w:rPr>
        <w:t xml:space="preserve"> (Poročilo o finančni stabilnost, maj 2022)</w:t>
      </w:r>
      <w:r w:rsidRPr="00EE214E">
        <w:rPr>
          <w:rFonts w:ascii="Tahoma" w:hAnsi="Tahoma" w:cs="Tahoma"/>
          <w:color w:val="000000"/>
          <w:sz w:val="22"/>
          <w:szCs w:val="22"/>
        </w:rPr>
        <w:t xml:space="preserve"> se je delež fiksno obrestovanih na novo odobrenih stanovanjskih posojil v lanskem letu povečal s 60 na skoraj 90 odstotkov, pri potrošniških posojilih pa se je s 70 odstotkov, kjer je bil od začetka leta 2019, do konca leta 2021 zvišal na nekaj manj kot 90 odstotkov. Fiksno obrestovana posojila so decembra 2021 predstavljala 45 odstotkov</w:t>
      </w:r>
      <w:r w:rsidR="005D5058">
        <w:rPr>
          <w:rFonts w:ascii="Tahoma" w:hAnsi="Tahoma" w:cs="Tahoma"/>
          <w:color w:val="000000"/>
          <w:sz w:val="22"/>
          <w:szCs w:val="22"/>
        </w:rPr>
        <w:t xml:space="preserve"> vseh neodplačanih</w:t>
      </w:r>
      <w:r w:rsidRPr="00EE214E">
        <w:rPr>
          <w:rFonts w:ascii="Tahoma" w:hAnsi="Tahoma" w:cs="Tahoma"/>
          <w:color w:val="000000"/>
          <w:sz w:val="22"/>
          <w:szCs w:val="22"/>
        </w:rPr>
        <w:t xml:space="preserve"> stanovanjskih posojil in 66 odstotkov potrošniških posojil.</w:t>
      </w:r>
    </w:p>
    <w:p w14:paraId="709C1C71" w14:textId="7C624858" w:rsidR="00337208" w:rsidRPr="008B34FE" w:rsidRDefault="00337208" w:rsidP="00002162">
      <w:pPr>
        <w:pStyle w:val="NormalWeb"/>
        <w:shd w:val="clear" w:color="auto" w:fill="FFFFFF"/>
        <w:jc w:val="both"/>
        <w:rPr>
          <w:rFonts w:ascii="Tahoma" w:hAnsi="Tahoma" w:cs="Tahoma"/>
          <w:color w:val="000000"/>
          <w:sz w:val="22"/>
          <w:szCs w:val="22"/>
        </w:rPr>
      </w:pPr>
      <w:r w:rsidRPr="008B34FE">
        <w:rPr>
          <w:rFonts w:ascii="Tahoma" w:hAnsi="Tahoma" w:cs="Tahoma"/>
          <w:color w:val="000000"/>
          <w:sz w:val="22"/>
          <w:szCs w:val="22"/>
        </w:rPr>
        <w:t>Vsem potrošnikom, ki se soočajo s finančnimi težavami ali pričakujejo težave pri odplačilu kredita za nepremičnino, svetujemo, da čimprej  kontaktirajo</w:t>
      </w:r>
      <w:r w:rsidR="009F4553">
        <w:rPr>
          <w:rFonts w:ascii="Tahoma" w:hAnsi="Tahoma" w:cs="Tahoma"/>
          <w:color w:val="000000"/>
          <w:sz w:val="22"/>
          <w:szCs w:val="22"/>
        </w:rPr>
        <w:t xml:space="preserve"> svojo</w:t>
      </w:r>
      <w:r w:rsidRPr="008B34FE">
        <w:rPr>
          <w:rFonts w:ascii="Tahoma" w:hAnsi="Tahoma" w:cs="Tahoma"/>
          <w:color w:val="000000"/>
          <w:sz w:val="22"/>
          <w:szCs w:val="22"/>
        </w:rPr>
        <w:t xml:space="preserve"> banko.</w:t>
      </w:r>
      <w:r w:rsidR="008B34FE" w:rsidRPr="008B34FE">
        <w:rPr>
          <w:rFonts w:ascii="Tahoma" w:hAnsi="Tahoma" w:cs="Tahoma"/>
          <w:color w:val="000000"/>
          <w:sz w:val="22"/>
          <w:szCs w:val="22"/>
        </w:rPr>
        <w:t xml:space="preserve"> </w:t>
      </w:r>
      <w:r w:rsidRPr="008B34FE">
        <w:rPr>
          <w:rFonts w:ascii="Tahoma" w:hAnsi="Tahoma" w:cs="Tahoma"/>
          <w:color w:val="000000"/>
          <w:sz w:val="22"/>
          <w:szCs w:val="22"/>
        </w:rPr>
        <w:t xml:space="preserve">Zaposleni v bankah bodo pri iskanju ustrezne rešitve in odločanju o tem, katere ukrepe reševanja je smiselno sprejeti, upoštevaje posamezne okoliščine potrošnika, njegovo zmožnost plačevanja, ter </w:t>
      </w:r>
      <w:r w:rsidRPr="008B34FE">
        <w:rPr>
          <w:rFonts w:ascii="Tahoma" w:hAnsi="Tahoma" w:cs="Tahoma"/>
          <w:color w:val="000000"/>
          <w:sz w:val="22"/>
          <w:szCs w:val="22"/>
        </w:rPr>
        <w:lastRenderedPageBreak/>
        <w:t>pravice in interese potrošnika in banke lahko predlagali enega ali kombinacijo ukrepov za spremembo kreditne pogodbe:</w:t>
      </w:r>
      <w:r w:rsidR="008B34FE" w:rsidRPr="008B34FE">
        <w:rPr>
          <w:rFonts w:ascii="Tahoma" w:hAnsi="Tahoma" w:cs="Tahoma"/>
          <w:color w:val="000000"/>
          <w:sz w:val="22"/>
          <w:szCs w:val="22"/>
        </w:rPr>
        <w:t xml:space="preserve"> </w:t>
      </w:r>
      <w:r w:rsidRPr="008B34FE">
        <w:rPr>
          <w:rFonts w:ascii="Tahoma" w:hAnsi="Tahoma" w:cs="Tahoma"/>
          <w:color w:val="000000"/>
          <w:sz w:val="22"/>
          <w:szCs w:val="22"/>
        </w:rPr>
        <w:t>moratorij oz. odlog odplačevanja kredita ali glavnice</w:t>
      </w:r>
      <w:r w:rsidR="008B34FE" w:rsidRPr="008B34FE">
        <w:rPr>
          <w:rFonts w:ascii="Tahoma" w:hAnsi="Tahoma" w:cs="Tahoma"/>
          <w:color w:val="000000"/>
          <w:sz w:val="22"/>
          <w:szCs w:val="22"/>
        </w:rPr>
        <w:t xml:space="preserve">, </w:t>
      </w:r>
      <w:r w:rsidRPr="008B34FE">
        <w:rPr>
          <w:rFonts w:ascii="Tahoma" w:hAnsi="Tahoma" w:cs="Tahoma"/>
          <w:color w:val="000000"/>
          <w:sz w:val="22"/>
          <w:szCs w:val="22"/>
        </w:rPr>
        <w:t>podaljšanje časa trajanja kreditne pogodbe, kar pomeni nižjo mesečno obveznost pri daljšem obdobju odplačevanja</w:t>
      </w:r>
      <w:r w:rsidR="008B34FE" w:rsidRPr="008B34FE">
        <w:rPr>
          <w:rFonts w:ascii="Tahoma" w:hAnsi="Tahoma" w:cs="Tahoma"/>
          <w:color w:val="000000"/>
          <w:sz w:val="22"/>
          <w:szCs w:val="22"/>
        </w:rPr>
        <w:t xml:space="preserve">, </w:t>
      </w:r>
      <w:r w:rsidRPr="008B34FE">
        <w:rPr>
          <w:rFonts w:ascii="Tahoma" w:hAnsi="Tahoma" w:cs="Tahoma"/>
          <w:color w:val="000000"/>
          <w:sz w:val="22"/>
          <w:szCs w:val="22"/>
        </w:rPr>
        <w:t>spremembo načina odplačevanja kredita</w:t>
      </w:r>
      <w:r w:rsidR="008B34FE" w:rsidRPr="008B34FE">
        <w:rPr>
          <w:rFonts w:ascii="Tahoma" w:hAnsi="Tahoma" w:cs="Tahoma"/>
          <w:color w:val="000000"/>
          <w:sz w:val="22"/>
          <w:szCs w:val="22"/>
        </w:rPr>
        <w:t xml:space="preserve">, </w:t>
      </w:r>
      <w:r w:rsidRPr="008B34FE">
        <w:rPr>
          <w:rFonts w:ascii="Tahoma" w:hAnsi="Tahoma" w:cs="Tahoma"/>
          <w:color w:val="000000"/>
          <w:sz w:val="22"/>
          <w:szCs w:val="22"/>
        </w:rPr>
        <w:t xml:space="preserve"> spremembo datuma plačila mesečne obveznosti, refinanciranje</w:t>
      </w:r>
      <w:r w:rsidR="008B34FE" w:rsidRPr="008B34FE">
        <w:rPr>
          <w:rFonts w:ascii="Tahoma" w:hAnsi="Tahoma" w:cs="Tahoma"/>
          <w:color w:val="000000"/>
          <w:sz w:val="22"/>
          <w:szCs w:val="22"/>
        </w:rPr>
        <w:t xml:space="preserve"> ali </w:t>
      </w:r>
      <w:r w:rsidRPr="008B34FE">
        <w:rPr>
          <w:rFonts w:ascii="Tahoma" w:hAnsi="Tahoma" w:cs="Tahoma"/>
          <w:color w:val="000000"/>
          <w:sz w:val="22"/>
          <w:szCs w:val="22"/>
        </w:rPr>
        <w:t>druge aktivnosti.</w:t>
      </w:r>
    </w:p>
    <w:p w14:paraId="1B9EEB03" w14:textId="2DD2E7CA" w:rsidR="00E353E4" w:rsidRDefault="00E353E4" w:rsidP="00E802FC">
      <w:pPr>
        <w:pStyle w:val="PlainText"/>
        <w:rPr>
          <w:rFonts w:ascii="Tahoma" w:hAnsi="Tahoma" w:cs="Tahoma"/>
        </w:rPr>
      </w:pPr>
    </w:p>
    <w:p w14:paraId="0F130727" w14:textId="680623AE" w:rsidR="00202ABE" w:rsidRDefault="00202ABE" w:rsidP="00E802FC">
      <w:pPr>
        <w:pStyle w:val="PlainText"/>
        <w:rPr>
          <w:rFonts w:ascii="Tahoma" w:hAnsi="Tahoma" w:cs="Tahoma"/>
        </w:rPr>
      </w:pPr>
    </w:p>
    <w:p w14:paraId="4E93B31C" w14:textId="134B1E67" w:rsidR="00202ABE" w:rsidRDefault="00202ABE" w:rsidP="00E802FC">
      <w:pPr>
        <w:pStyle w:val="PlainText"/>
        <w:rPr>
          <w:rFonts w:ascii="Tahoma" w:hAnsi="Tahoma" w:cs="Tahoma"/>
        </w:rPr>
      </w:pPr>
    </w:p>
    <w:p w14:paraId="43DA181B" w14:textId="77777777" w:rsidR="00202ABE" w:rsidRPr="00406463" w:rsidRDefault="00202ABE" w:rsidP="00E802FC">
      <w:pPr>
        <w:pStyle w:val="PlainText"/>
        <w:rPr>
          <w:rFonts w:ascii="Tahoma" w:hAnsi="Tahoma" w:cs="Tahoma"/>
        </w:rPr>
      </w:pPr>
    </w:p>
    <w:p w14:paraId="3D11C37C" w14:textId="77777777" w:rsidR="00E353E4" w:rsidRPr="00406463" w:rsidRDefault="00E353E4" w:rsidP="00E802FC">
      <w:pPr>
        <w:pStyle w:val="PlainText"/>
        <w:rPr>
          <w:rFonts w:ascii="Tahoma" w:hAnsi="Tahoma" w:cs="Tahoma"/>
        </w:rPr>
      </w:pPr>
    </w:p>
    <w:p w14:paraId="4C618725" w14:textId="31DE2C04" w:rsidR="00E10FFD" w:rsidRPr="00406463" w:rsidRDefault="00A24499" w:rsidP="00E802FC">
      <w:pPr>
        <w:pStyle w:val="PlainText"/>
        <w:rPr>
          <w:rFonts w:ascii="Tahoma" w:hAnsi="Tahoma" w:cs="Tahoma"/>
        </w:rPr>
      </w:pPr>
      <w:r w:rsidRPr="00406463">
        <w:rPr>
          <w:rFonts w:ascii="Tahoma" w:hAnsi="Tahoma" w:cs="Tahoma"/>
        </w:rPr>
        <w:t>Združenje bank Slovenije</w:t>
      </w:r>
      <w:r w:rsidRPr="00406463">
        <w:rPr>
          <w:rFonts w:ascii="Tahoma" w:hAnsi="Tahoma" w:cs="Tahoma"/>
        </w:rPr>
        <w:br/>
        <w:t>Ljubljana,</w:t>
      </w:r>
      <w:r w:rsidR="006770C1" w:rsidRPr="00406463">
        <w:rPr>
          <w:rFonts w:ascii="Tahoma" w:hAnsi="Tahoma" w:cs="Tahoma"/>
        </w:rPr>
        <w:t xml:space="preserve"> </w:t>
      </w:r>
      <w:r w:rsidR="00002162">
        <w:rPr>
          <w:rFonts w:ascii="Tahoma" w:hAnsi="Tahoma" w:cs="Tahoma"/>
        </w:rPr>
        <w:t xml:space="preserve">7. </w:t>
      </w:r>
      <w:r w:rsidR="00202ABE">
        <w:rPr>
          <w:rFonts w:ascii="Tahoma" w:hAnsi="Tahoma" w:cs="Tahoma"/>
        </w:rPr>
        <w:t>september</w:t>
      </w:r>
      <w:r w:rsidR="00671040" w:rsidRPr="00406463">
        <w:rPr>
          <w:rFonts w:ascii="Tahoma" w:hAnsi="Tahoma" w:cs="Tahoma"/>
        </w:rPr>
        <w:t xml:space="preserve"> 202</w:t>
      </w:r>
      <w:r w:rsidR="004830B9" w:rsidRPr="00406463">
        <w:rPr>
          <w:rFonts w:ascii="Tahoma" w:hAnsi="Tahoma" w:cs="Tahoma"/>
        </w:rPr>
        <w:t>2</w:t>
      </w:r>
    </w:p>
    <w:sectPr w:rsidR="00E10FFD" w:rsidRPr="00406463" w:rsidSect="00147A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A733" w14:textId="77777777" w:rsidR="00F84C6D" w:rsidRDefault="00F84C6D" w:rsidP="008A60E7">
      <w:r>
        <w:separator/>
      </w:r>
    </w:p>
  </w:endnote>
  <w:endnote w:type="continuationSeparator" w:id="0">
    <w:p w14:paraId="3DE2F872" w14:textId="77777777" w:rsidR="00F84C6D" w:rsidRDefault="00F84C6D" w:rsidP="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jiyama">
    <w:panose1 w:val="00000000000000000000"/>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BA2" w14:textId="3D7E2FE1" w:rsidR="008A60E7" w:rsidRDefault="008A60E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664641" w:rsidRPr="00664641" w14:paraId="7053505D" w14:textId="77777777" w:rsidTr="00664641">
      <w:tc>
        <w:tcPr>
          <w:tcW w:w="6521" w:type="dxa"/>
        </w:tcPr>
        <w:p w14:paraId="3C5FDD87" w14:textId="47219938" w:rsidR="008A60E7" w:rsidRPr="0099395B" w:rsidRDefault="008A60E7" w:rsidP="00925D4E">
          <w:pPr>
            <w:pStyle w:val="Footer"/>
            <w:jc w:val="right"/>
            <w:rPr>
              <w:rFonts w:ascii="Arial" w:hAnsi="Arial" w:cs="Arial"/>
              <w:color w:val="808080" w:themeColor="background1" w:themeShade="80"/>
              <w:sz w:val="18"/>
              <w:szCs w:val="18"/>
            </w:rPr>
          </w:pPr>
          <w:r w:rsidRPr="0099395B">
            <w:rPr>
              <w:rFonts w:ascii="Arial" w:hAnsi="Arial" w:cs="Arial"/>
              <w:color w:val="808080" w:themeColor="background1" w:themeShade="80"/>
              <w:sz w:val="18"/>
              <w:szCs w:val="18"/>
            </w:rPr>
            <w:t>PR koordinacija</w:t>
          </w:r>
        </w:p>
      </w:tc>
      <w:tc>
        <w:tcPr>
          <w:tcW w:w="2541" w:type="dxa"/>
        </w:tcPr>
        <w:p w14:paraId="44C262C1" w14:textId="1DF8E16C" w:rsidR="008A60E7" w:rsidRPr="0099395B" w:rsidRDefault="00BA0B2C" w:rsidP="00022B34">
          <w:pPr>
            <w:pStyle w:val="Footer"/>
            <w:rPr>
              <w:rFonts w:ascii="Arial" w:hAnsi="Arial" w:cs="Arial"/>
              <w:color w:val="808080" w:themeColor="background1" w:themeShade="80"/>
              <w:sz w:val="16"/>
              <w:szCs w:val="16"/>
            </w:rPr>
          </w:pPr>
          <w:hyperlink r:id="rId1" w:history="1">
            <w:r w:rsidR="00022B34" w:rsidRPr="0099395B">
              <w:rPr>
                <w:rStyle w:val="Hyperlink"/>
                <w:rFonts w:ascii="Arial" w:hAnsi="Arial" w:cs="Arial"/>
                <w:color w:val="808080" w:themeColor="background1" w:themeShade="80"/>
                <w:sz w:val="16"/>
                <w:szCs w:val="16"/>
                <w:u w:val="none"/>
              </w:rPr>
              <w:t>aleksandra.zibrat@zbs-giz.si</w:t>
            </w:r>
          </w:hyperlink>
          <w:r w:rsidR="008A60E7" w:rsidRPr="0099395B">
            <w:rPr>
              <w:rFonts w:ascii="Arial" w:hAnsi="Arial" w:cs="Arial"/>
              <w:color w:val="808080" w:themeColor="background1" w:themeShade="80"/>
              <w:sz w:val="16"/>
              <w:szCs w:val="16"/>
            </w:rPr>
            <w:br/>
            <w:t>tel.</w:t>
          </w:r>
          <w:r w:rsidR="00E54434" w:rsidRPr="0099395B">
            <w:rPr>
              <w:rFonts w:ascii="Arial" w:hAnsi="Arial" w:cs="Arial"/>
              <w:color w:val="808080" w:themeColor="background1" w:themeShade="80"/>
              <w:sz w:val="16"/>
              <w:szCs w:val="16"/>
            </w:rPr>
            <w:t>:</w:t>
          </w:r>
          <w:r w:rsidR="008A60E7" w:rsidRPr="0099395B">
            <w:rPr>
              <w:rFonts w:ascii="Arial" w:hAnsi="Arial" w:cs="Arial"/>
              <w:color w:val="808080" w:themeColor="background1" w:themeShade="80"/>
              <w:sz w:val="16"/>
              <w:szCs w:val="16"/>
            </w:rPr>
            <w:t xml:space="preserve"> 01 24 29 758</w:t>
          </w:r>
          <w:r w:rsidR="00925D4E" w:rsidRPr="0099395B">
            <w:rPr>
              <w:rFonts w:ascii="Arial" w:hAnsi="Arial" w:cs="Arial"/>
              <w:color w:val="808080" w:themeColor="background1" w:themeShade="80"/>
              <w:sz w:val="16"/>
              <w:szCs w:val="16"/>
            </w:rPr>
            <w:t xml:space="preserve">, </w:t>
          </w:r>
          <w:r w:rsidR="008A60E7" w:rsidRPr="0099395B">
            <w:rPr>
              <w:rFonts w:ascii="Arial" w:hAnsi="Arial" w:cs="Arial"/>
              <w:color w:val="808080" w:themeColor="background1" w:themeShade="80"/>
              <w:sz w:val="16"/>
              <w:szCs w:val="16"/>
            </w:rPr>
            <w:t>031 716 589</w:t>
          </w:r>
          <w:r w:rsidR="00022B34" w:rsidRPr="0099395B">
            <w:rPr>
              <w:rFonts w:ascii="Arial" w:hAnsi="Arial" w:cs="Arial"/>
              <w:color w:val="808080" w:themeColor="background1" w:themeShade="80"/>
              <w:sz w:val="16"/>
              <w:szCs w:val="16"/>
            </w:rPr>
            <w:br/>
          </w:r>
          <w:hyperlink r:id="rId2" w:history="1">
            <w:r w:rsidR="00022B34" w:rsidRPr="0099395B">
              <w:rPr>
                <w:rStyle w:val="Hyperlink"/>
                <w:rFonts w:ascii="Arial" w:hAnsi="Arial" w:cs="Arial"/>
                <w:color w:val="808080" w:themeColor="background1" w:themeShade="80"/>
                <w:sz w:val="16"/>
                <w:szCs w:val="16"/>
                <w:u w:val="none"/>
              </w:rPr>
              <w:t>www.zbs-giz.si</w:t>
            </w:r>
          </w:hyperlink>
        </w:p>
      </w:tc>
    </w:tr>
  </w:tbl>
  <w:p w14:paraId="75502094" w14:textId="6A45285B" w:rsidR="008A60E7" w:rsidRDefault="008A60E7">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222D" w14:textId="77777777" w:rsidR="00F84C6D" w:rsidRDefault="00F84C6D" w:rsidP="008A60E7">
      <w:r>
        <w:separator/>
      </w:r>
    </w:p>
  </w:footnote>
  <w:footnote w:type="continuationSeparator" w:id="0">
    <w:p w14:paraId="7CEE76EF" w14:textId="77777777" w:rsidR="00F84C6D" w:rsidRDefault="00F84C6D" w:rsidP="008A6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027"/>
    <w:multiLevelType w:val="hybridMultilevel"/>
    <w:tmpl w:val="85C8B06C"/>
    <w:lvl w:ilvl="0" w:tplc="BFD6074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9E4C43"/>
    <w:multiLevelType w:val="hybridMultilevel"/>
    <w:tmpl w:val="5114FB2A"/>
    <w:lvl w:ilvl="0" w:tplc="1D0A76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576712"/>
    <w:multiLevelType w:val="hybridMultilevel"/>
    <w:tmpl w:val="F6827490"/>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3F03D6E"/>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E4913"/>
    <w:multiLevelType w:val="multilevel"/>
    <w:tmpl w:val="406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B5F5D"/>
    <w:multiLevelType w:val="hybridMultilevel"/>
    <w:tmpl w:val="9CE20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3D34B6"/>
    <w:multiLevelType w:val="multilevel"/>
    <w:tmpl w:val="CDD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0A7786"/>
    <w:multiLevelType w:val="multilevel"/>
    <w:tmpl w:val="5A4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C4BA0"/>
    <w:multiLevelType w:val="hybridMultilevel"/>
    <w:tmpl w:val="1BCA7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2C7F4C"/>
    <w:multiLevelType w:val="hybridMultilevel"/>
    <w:tmpl w:val="D1E020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F13595"/>
    <w:multiLevelType w:val="multilevel"/>
    <w:tmpl w:val="8D2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96A0D"/>
    <w:multiLevelType w:val="hybridMultilevel"/>
    <w:tmpl w:val="9266F9A2"/>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0544725"/>
    <w:multiLevelType w:val="hybridMultilevel"/>
    <w:tmpl w:val="50F05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634BDF"/>
    <w:multiLevelType w:val="multilevel"/>
    <w:tmpl w:val="187EF8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495E48"/>
    <w:multiLevelType w:val="hybridMultilevel"/>
    <w:tmpl w:val="7838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3320E2"/>
    <w:multiLevelType w:val="hybridMultilevel"/>
    <w:tmpl w:val="6CF672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AE900B5"/>
    <w:multiLevelType w:val="hybridMultilevel"/>
    <w:tmpl w:val="A448E21C"/>
    <w:lvl w:ilvl="0" w:tplc="0424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5CA87322"/>
    <w:multiLevelType w:val="multilevel"/>
    <w:tmpl w:val="46A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A020A"/>
    <w:multiLevelType w:val="hybridMultilevel"/>
    <w:tmpl w:val="9CDEA1A8"/>
    <w:lvl w:ilvl="0" w:tplc="0504C3B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6C614A"/>
    <w:multiLevelType w:val="multilevel"/>
    <w:tmpl w:val="368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CC63CC"/>
    <w:multiLevelType w:val="hybridMultilevel"/>
    <w:tmpl w:val="A64C1E58"/>
    <w:lvl w:ilvl="0" w:tplc="0504C3B6">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73C821E4"/>
    <w:multiLevelType w:val="hybridMultilevel"/>
    <w:tmpl w:val="B290C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4D67BE0"/>
    <w:multiLevelType w:val="hybridMultilevel"/>
    <w:tmpl w:val="1D9EB368"/>
    <w:lvl w:ilvl="0" w:tplc="1D0A760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BAE0F6E"/>
    <w:multiLevelType w:val="hybridMultilevel"/>
    <w:tmpl w:val="6090CB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7CCE2E25"/>
    <w:multiLevelType w:val="multilevel"/>
    <w:tmpl w:val="F9D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12F26"/>
    <w:multiLevelType w:val="hybridMultilevel"/>
    <w:tmpl w:val="8A101E56"/>
    <w:lvl w:ilvl="0" w:tplc="48F442F4">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685475856">
    <w:abstractNumId w:val="3"/>
  </w:num>
  <w:num w:numId="2" w16cid:durableId="264968420">
    <w:abstractNumId w:val="8"/>
  </w:num>
  <w:num w:numId="3" w16cid:durableId="1482888132">
    <w:abstractNumId w:val="7"/>
  </w:num>
  <w:num w:numId="4" w16cid:durableId="1008099847">
    <w:abstractNumId w:val="4"/>
  </w:num>
  <w:num w:numId="5" w16cid:durableId="1120419604">
    <w:abstractNumId w:val="10"/>
  </w:num>
  <w:num w:numId="6" w16cid:durableId="952008275">
    <w:abstractNumId w:val="19"/>
  </w:num>
  <w:num w:numId="7" w16cid:durableId="1740981319">
    <w:abstractNumId w:val="17"/>
  </w:num>
  <w:num w:numId="8" w16cid:durableId="1278757746">
    <w:abstractNumId w:val="24"/>
  </w:num>
  <w:num w:numId="9" w16cid:durableId="342170184">
    <w:abstractNumId w:val="6"/>
  </w:num>
  <w:num w:numId="10" w16cid:durableId="323508864">
    <w:abstractNumId w:val="25"/>
  </w:num>
  <w:num w:numId="11" w16cid:durableId="790516473">
    <w:abstractNumId w:val="12"/>
  </w:num>
  <w:num w:numId="12" w16cid:durableId="1883862355">
    <w:abstractNumId w:val="1"/>
  </w:num>
  <w:num w:numId="13" w16cid:durableId="1987664911">
    <w:abstractNumId w:val="22"/>
  </w:num>
  <w:num w:numId="14" w16cid:durableId="479006702">
    <w:abstractNumId w:val="16"/>
  </w:num>
  <w:num w:numId="15" w16cid:durableId="2014335694">
    <w:abstractNumId w:val="11"/>
  </w:num>
  <w:num w:numId="16" w16cid:durableId="1234899475">
    <w:abstractNumId w:val="21"/>
  </w:num>
  <w:num w:numId="17" w16cid:durableId="1777171198">
    <w:abstractNumId w:val="18"/>
  </w:num>
  <w:num w:numId="18" w16cid:durableId="1480726924">
    <w:abstractNumId w:val="20"/>
  </w:num>
  <w:num w:numId="19" w16cid:durableId="2093549563">
    <w:abstractNumId w:val="2"/>
  </w:num>
  <w:num w:numId="20" w16cid:durableId="1100176727">
    <w:abstractNumId w:val="14"/>
  </w:num>
  <w:num w:numId="21" w16cid:durableId="1867907546">
    <w:abstractNumId w:val="15"/>
  </w:num>
  <w:num w:numId="22" w16cid:durableId="17029365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7750188">
    <w:abstractNumId w:val="9"/>
  </w:num>
  <w:num w:numId="24" w16cid:durableId="1039279696">
    <w:abstractNumId w:val="0"/>
  </w:num>
  <w:num w:numId="25" w16cid:durableId="1984000542">
    <w:abstractNumId w:val="23"/>
  </w:num>
  <w:num w:numId="26" w16cid:durableId="137430746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0079D"/>
    <w:rsid w:val="00002162"/>
    <w:rsid w:val="0000596C"/>
    <w:rsid w:val="00007BD4"/>
    <w:rsid w:val="00013322"/>
    <w:rsid w:val="00022B34"/>
    <w:rsid w:val="000375E1"/>
    <w:rsid w:val="000409A2"/>
    <w:rsid w:val="00040D14"/>
    <w:rsid w:val="00053111"/>
    <w:rsid w:val="00057889"/>
    <w:rsid w:val="000601AC"/>
    <w:rsid w:val="0007291D"/>
    <w:rsid w:val="000732E6"/>
    <w:rsid w:val="00075CE5"/>
    <w:rsid w:val="00080366"/>
    <w:rsid w:val="00081593"/>
    <w:rsid w:val="000831B9"/>
    <w:rsid w:val="00092D28"/>
    <w:rsid w:val="000A04E5"/>
    <w:rsid w:val="000A1082"/>
    <w:rsid w:val="000B5E27"/>
    <w:rsid w:val="000C1B33"/>
    <w:rsid w:val="000C3CC0"/>
    <w:rsid w:val="000C6432"/>
    <w:rsid w:val="000C79D6"/>
    <w:rsid w:val="000D29B0"/>
    <w:rsid w:val="00111A60"/>
    <w:rsid w:val="00116C60"/>
    <w:rsid w:val="00122885"/>
    <w:rsid w:val="001233A2"/>
    <w:rsid w:val="00125F3E"/>
    <w:rsid w:val="001312C9"/>
    <w:rsid w:val="001407F3"/>
    <w:rsid w:val="00143DC0"/>
    <w:rsid w:val="001448F5"/>
    <w:rsid w:val="00147AC9"/>
    <w:rsid w:val="00151891"/>
    <w:rsid w:val="00152AC4"/>
    <w:rsid w:val="00155D14"/>
    <w:rsid w:val="00155E5B"/>
    <w:rsid w:val="0016329F"/>
    <w:rsid w:val="00165474"/>
    <w:rsid w:val="00170D53"/>
    <w:rsid w:val="0017185A"/>
    <w:rsid w:val="00173C93"/>
    <w:rsid w:val="00175151"/>
    <w:rsid w:val="00180D66"/>
    <w:rsid w:val="00184CCC"/>
    <w:rsid w:val="0018594C"/>
    <w:rsid w:val="00191FA1"/>
    <w:rsid w:val="001A26F6"/>
    <w:rsid w:val="001A4406"/>
    <w:rsid w:val="001A7293"/>
    <w:rsid w:val="001B1E19"/>
    <w:rsid w:val="001B43DE"/>
    <w:rsid w:val="001B4B78"/>
    <w:rsid w:val="001C5CC9"/>
    <w:rsid w:val="001C60DF"/>
    <w:rsid w:val="001C70C1"/>
    <w:rsid w:val="001D2625"/>
    <w:rsid w:val="001E0A73"/>
    <w:rsid w:val="001F34D9"/>
    <w:rsid w:val="001F3C74"/>
    <w:rsid w:val="002009E7"/>
    <w:rsid w:val="00201F72"/>
    <w:rsid w:val="00202ABE"/>
    <w:rsid w:val="00214A45"/>
    <w:rsid w:val="00220317"/>
    <w:rsid w:val="00225CFA"/>
    <w:rsid w:val="002278C7"/>
    <w:rsid w:val="00230BEE"/>
    <w:rsid w:val="00237080"/>
    <w:rsid w:val="002374C2"/>
    <w:rsid w:val="00243C2B"/>
    <w:rsid w:val="00255F6D"/>
    <w:rsid w:val="00266D0E"/>
    <w:rsid w:val="00270A5E"/>
    <w:rsid w:val="00274661"/>
    <w:rsid w:val="00282287"/>
    <w:rsid w:val="00285C75"/>
    <w:rsid w:val="00297139"/>
    <w:rsid w:val="002A7AA4"/>
    <w:rsid w:val="002B01A8"/>
    <w:rsid w:val="002B5E8C"/>
    <w:rsid w:val="002B78EC"/>
    <w:rsid w:val="002C02AD"/>
    <w:rsid w:val="002C28DF"/>
    <w:rsid w:val="002C56A3"/>
    <w:rsid w:val="002D34AF"/>
    <w:rsid w:val="002D4660"/>
    <w:rsid w:val="002E3098"/>
    <w:rsid w:val="002E3CBC"/>
    <w:rsid w:val="002E756E"/>
    <w:rsid w:val="002F43F0"/>
    <w:rsid w:val="00305C59"/>
    <w:rsid w:val="00311C0D"/>
    <w:rsid w:val="003124D7"/>
    <w:rsid w:val="003140A8"/>
    <w:rsid w:val="00317914"/>
    <w:rsid w:val="00324382"/>
    <w:rsid w:val="00332549"/>
    <w:rsid w:val="00337208"/>
    <w:rsid w:val="00343076"/>
    <w:rsid w:val="00345639"/>
    <w:rsid w:val="0034633B"/>
    <w:rsid w:val="00350E41"/>
    <w:rsid w:val="00352945"/>
    <w:rsid w:val="00353035"/>
    <w:rsid w:val="00355F5F"/>
    <w:rsid w:val="00357517"/>
    <w:rsid w:val="0036336F"/>
    <w:rsid w:val="00363CEE"/>
    <w:rsid w:val="00366520"/>
    <w:rsid w:val="00366C35"/>
    <w:rsid w:val="00371AAC"/>
    <w:rsid w:val="00371F3E"/>
    <w:rsid w:val="00381179"/>
    <w:rsid w:val="0038572F"/>
    <w:rsid w:val="00385A86"/>
    <w:rsid w:val="0039339F"/>
    <w:rsid w:val="003A332E"/>
    <w:rsid w:val="003A42E3"/>
    <w:rsid w:val="003A473A"/>
    <w:rsid w:val="003C1A36"/>
    <w:rsid w:val="003D34EA"/>
    <w:rsid w:val="003F18AE"/>
    <w:rsid w:val="003F5BA8"/>
    <w:rsid w:val="003F7C8E"/>
    <w:rsid w:val="00403E84"/>
    <w:rsid w:val="00406463"/>
    <w:rsid w:val="004124CE"/>
    <w:rsid w:val="00417323"/>
    <w:rsid w:val="004314C3"/>
    <w:rsid w:val="00465227"/>
    <w:rsid w:val="00473D9F"/>
    <w:rsid w:val="00477854"/>
    <w:rsid w:val="00481104"/>
    <w:rsid w:val="004811CF"/>
    <w:rsid w:val="004830B9"/>
    <w:rsid w:val="00490818"/>
    <w:rsid w:val="00492FBB"/>
    <w:rsid w:val="004A0929"/>
    <w:rsid w:val="004B110B"/>
    <w:rsid w:val="004B1BBB"/>
    <w:rsid w:val="004B7887"/>
    <w:rsid w:val="004C51E6"/>
    <w:rsid w:val="004C51FB"/>
    <w:rsid w:val="004D1AF3"/>
    <w:rsid w:val="004D2491"/>
    <w:rsid w:val="004D6619"/>
    <w:rsid w:val="004E0D85"/>
    <w:rsid w:val="005036B8"/>
    <w:rsid w:val="0050514B"/>
    <w:rsid w:val="00507048"/>
    <w:rsid w:val="00510B38"/>
    <w:rsid w:val="0051733A"/>
    <w:rsid w:val="0052178D"/>
    <w:rsid w:val="00522A3C"/>
    <w:rsid w:val="005268AA"/>
    <w:rsid w:val="00531987"/>
    <w:rsid w:val="005321CA"/>
    <w:rsid w:val="00533C36"/>
    <w:rsid w:val="005418A1"/>
    <w:rsid w:val="00542931"/>
    <w:rsid w:val="005447FD"/>
    <w:rsid w:val="00552717"/>
    <w:rsid w:val="00556840"/>
    <w:rsid w:val="00557D07"/>
    <w:rsid w:val="005612A6"/>
    <w:rsid w:val="00561A96"/>
    <w:rsid w:val="00561DAF"/>
    <w:rsid w:val="005622ED"/>
    <w:rsid w:val="00562698"/>
    <w:rsid w:val="005715CA"/>
    <w:rsid w:val="00576FBD"/>
    <w:rsid w:val="00577B67"/>
    <w:rsid w:val="00581A28"/>
    <w:rsid w:val="00582D80"/>
    <w:rsid w:val="00586728"/>
    <w:rsid w:val="005A0B06"/>
    <w:rsid w:val="005A51BA"/>
    <w:rsid w:val="005B2F6C"/>
    <w:rsid w:val="005B3FE4"/>
    <w:rsid w:val="005B491A"/>
    <w:rsid w:val="005B7F7E"/>
    <w:rsid w:val="005C26D1"/>
    <w:rsid w:val="005D3C1E"/>
    <w:rsid w:val="005D5058"/>
    <w:rsid w:val="005E76D1"/>
    <w:rsid w:val="00602EC5"/>
    <w:rsid w:val="00611208"/>
    <w:rsid w:val="006120B0"/>
    <w:rsid w:val="00616CF3"/>
    <w:rsid w:val="00624D0D"/>
    <w:rsid w:val="006250B5"/>
    <w:rsid w:val="0063223F"/>
    <w:rsid w:val="006369E2"/>
    <w:rsid w:val="00641755"/>
    <w:rsid w:val="00641B39"/>
    <w:rsid w:val="006508DE"/>
    <w:rsid w:val="00651B84"/>
    <w:rsid w:val="00651E97"/>
    <w:rsid w:val="00651EB7"/>
    <w:rsid w:val="00655BEF"/>
    <w:rsid w:val="006625B6"/>
    <w:rsid w:val="00664641"/>
    <w:rsid w:val="00671040"/>
    <w:rsid w:val="006719BC"/>
    <w:rsid w:val="00671BC9"/>
    <w:rsid w:val="00672A03"/>
    <w:rsid w:val="00672B35"/>
    <w:rsid w:val="006734EB"/>
    <w:rsid w:val="006770C1"/>
    <w:rsid w:val="00683F05"/>
    <w:rsid w:val="00685AEC"/>
    <w:rsid w:val="00687FBE"/>
    <w:rsid w:val="00694E85"/>
    <w:rsid w:val="006A0AFB"/>
    <w:rsid w:val="006A7552"/>
    <w:rsid w:val="006B3FD2"/>
    <w:rsid w:val="006B583A"/>
    <w:rsid w:val="006B68E7"/>
    <w:rsid w:val="006C0598"/>
    <w:rsid w:val="006C7178"/>
    <w:rsid w:val="006D6444"/>
    <w:rsid w:val="006E2B26"/>
    <w:rsid w:val="006E3CD1"/>
    <w:rsid w:val="006F24C9"/>
    <w:rsid w:val="00700D73"/>
    <w:rsid w:val="007238BD"/>
    <w:rsid w:val="007347ED"/>
    <w:rsid w:val="007376AB"/>
    <w:rsid w:val="007450D9"/>
    <w:rsid w:val="00745219"/>
    <w:rsid w:val="00745CB7"/>
    <w:rsid w:val="007467DC"/>
    <w:rsid w:val="007532DC"/>
    <w:rsid w:val="00757D7E"/>
    <w:rsid w:val="0076220B"/>
    <w:rsid w:val="0077410E"/>
    <w:rsid w:val="007830A8"/>
    <w:rsid w:val="00785DB5"/>
    <w:rsid w:val="0079226A"/>
    <w:rsid w:val="00796E8D"/>
    <w:rsid w:val="007B4C8B"/>
    <w:rsid w:val="007C2A07"/>
    <w:rsid w:val="007C4430"/>
    <w:rsid w:val="007C5594"/>
    <w:rsid w:val="007D0C4C"/>
    <w:rsid w:val="007D3B79"/>
    <w:rsid w:val="007D4DA3"/>
    <w:rsid w:val="007E065A"/>
    <w:rsid w:val="007E2BC9"/>
    <w:rsid w:val="007F11EF"/>
    <w:rsid w:val="007F1BC0"/>
    <w:rsid w:val="007F36E8"/>
    <w:rsid w:val="007F7A6B"/>
    <w:rsid w:val="00805D67"/>
    <w:rsid w:val="0081105B"/>
    <w:rsid w:val="0082007F"/>
    <w:rsid w:val="00821AD9"/>
    <w:rsid w:val="008221A1"/>
    <w:rsid w:val="008279D0"/>
    <w:rsid w:val="0083250B"/>
    <w:rsid w:val="00835240"/>
    <w:rsid w:val="00845051"/>
    <w:rsid w:val="0084597C"/>
    <w:rsid w:val="0085241A"/>
    <w:rsid w:val="00860D7F"/>
    <w:rsid w:val="00871185"/>
    <w:rsid w:val="0087582A"/>
    <w:rsid w:val="008775EF"/>
    <w:rsid w:val="00886302"/>
    <w:rsid w:val="00892AF0"/>
    <w:rsid w:val="00896769"/>
    <w:rsid w:val="008A2882"/>
    <w:rsid w:val="008A60E7"/>
    <w:rsid w:val="008A724F"/>
    <w:rsid w:val="008B34FE"/>
    <w:rsid w:val="008B6C80"/>
    <w:rsid w:val="008C0B2F"/>
    <w:rsid w:val="008C10FE"/>
    <w:rsid w:val="008D4E5D"/>
    <w:rsid w:val="008D7FA0"/>
    <w:rsid w:val="008E07F0"/>
    <w:rsid w:val="008E3825"/>
    <w:rsid w:val="008E5A8C"/>
    <w:rsid w:val="008F174E"/>
    <w:rsid w:val="008F33AF"/>
    <w:rsid w:val="008F655F"/>
    <w:rsid w:val="0090391D"/>
    <w:rsid w:val="0091150D"/>
    <w:rsid w:val="009122F7"/>
    <w:rsid w:val="00925734"/>
    <w:rsid w:val="00925D4E"/>
    <w:rsid w:val="00930BA4"/>
    <w:rsid w:val="00934550"/>
    <w:rsid w:val="00941AE2"/>
    <w:rsid w:val="00941EAB"/>
    <w:rsid w:val="00943047"/>
    <w:rsid w:val="0095090C"/>
    <w:rsid w:val="009524E7"/>
    <w:rsid w:val="0095691B"/>
    <w:rsid w:val="00956970"/>
    <w:rsid w:val="0096538B"/>
    <w:rsid w:val="00966253"/>
    <w:rsid w:val="009703BE"/>
    <w:rsid w:val="0097146A"/>
    <w:rsid w:val="0097207B"/>
    <w:rsid w:val="00980FD5"/>
    <w:rsid w:val="009868B2"/>
    <w:rsid w:val="00991A21"/>
    <w:rsid w:val="0099395B"/>
    <w:rsid w:val="00995178"/>
    <w:rsid w:val="009B5C66"/>
    <w:rsid w:val="009B7C64"/>
    <w:rsid w:val="009C1241"/>
    <w:rsid w:val="009C538B"/>
    <w:rsid w:val="009C76C0"/>
    <w:rsid w:val="009D2656"/>
    <w:rsid w:val="009F13D5"/>
    <w:rsid w:val="009F4553"/>
    <w:rsid w:val="00A02A33"/>
    <w:rsid w:val="00A03688"/>
    <w:rsid w:val="00A068D1"/>
    <w:rsid w:val="00A106EA"/>
    <w:rsid w:val="00A16FF2"/>
    <w:rsid w:val="00A24499"/>
    <w:rsid w:val="00A27299"/>
    <w:rsid w:val="00A30908"/>
    <w:rsid w:val="00A3274F"/>
    <w:rsid w:val="00A36B3A"/>
    <w:rsid w:val="00A43612"/>
    <w:rsid w:val="00A65E4C"/>
    <w:rsid w:val="00A67C3B"/>
    <w:rsid w:val="00A7483B"/>
    <w:rsid w:val="00A81B7E"/>
    <w:rsid w:val="00A86D8D"/>
    <w:rsid w:val="00A906F3"/>
    <w:rsid w:val="00A975AF"/>
    <w:rsid w:val="00AA1930"/>
    <w:rsid w:val="00AA3C65"/>
    <w:rsid w:val="00AB2D14"/>
    <w:rsid w:val="00AB39D4"/>
    <w:rsid w:val="00AB5497"/>
    <w:rsid w:val="00AC7D45"/>
    <w:rsid w:val="00AD084B"/>
    <w:rsid w:val="00AD1748"/>
    <w:rsid w:val="00AD3E5F"/>
    <w:rsid w:val="00AD50C4"/>
    <w:rsid w:val="00AD5126"/>
    <w:rsid w:val="00AE0D89"/>
    <w:rsid w:val="00AE151F"/>
    <w:rsid w:val="00AE2D3E"/>
    <w:rsid w:val="00AE412C"/>
    <w:rsid w:val="00AE5708"/>
    <w:rsid w:val="00AF0254"/>
    <w:rsid w:val="00B05850"/>
    <w:rsid w:val="00B15221"/>
    <w:rsid w:val="00B236AD"/>
    <w:rsid w:val="00B24FAE"/>
    <w:rsid w:val="00B3120D"/>
    <w:rsid w:val="00B32E3B"/>
    <w:rsid w:val="00B3513E"/>
    <w:rsid w:val="00B3619E"/>
    <w:rsid w:val="00B5176C"/>
    <w:rsid w:val="00B51A86"/>
    <w:rsid w:val="00B61680"/>
    <w:rsid w:val="00B80550"/>
    <w:rsid w:val="00B8298F"/>
    <w:rsid w:val="00B94DF8"/>
    <w:rsid w:val="00B95260"/>
    <w:rsid w:val="00BA0231"/>
    <w:rsid w:val="00BA0B2C"/>
    <w:rsid w:val="00BA255E"/>
    <w:rsid w:val="00BA3D58"/>
    <w:rsid w:val="00BA61B9"/>
    <w:rsid w:val="00BB02A8"/>
    <w:rsid w:val="00BB3858"/>
    <w:rsid w:val="00BB3C4C"/>
    <w:rsid w:val="00BB4933"/>
    <w:rsid w:val="00BB67CA"/>
    <w:rsid w:val="00BC15E8"/>
    <w:rsid w:val="00BC242D"/>
    <w:rsid w:val="00BD2E50"/>
    <w:rsid w:val="00BD390C"/>
    <w:rsid w:val="00BD564B"/>
    <w:rsid w:val="00BE19B7"/>
    <w:rsid w:val="00BF2A68"/>
    <w:rsid w:val="00BF4E5B"/>
    <w:rsid w:val="00BF66A8"/>
    <w:rsid w:val="00C06B30"/>
    <w:rsid w:val="00C1201C"/>
    <w:rsid w:val="00C12510"/>
    <w:rsid w:val="00C12CDF"/>
    <w:rsid w:val="00C13A7F"/>
    <w:rsid w:val="00C27384"/>
    <w:rsid w:val="00C274FC"/>
    <w:rsid w:val="00C3095A"/>
    <w:rsid w:val="00C32270"/>
    <w:rsid w:val="00C3404A"/>
    <w:rsid w:val="00C36637"/>
    <w:rsid w:val="00C36AC7"/>
    <w:rsid w:val="00C40652"/>
    <w:rsid w:val="00C410FA"/>
    <w:rsid w:val="00C50421"/>
    <w:rsid w:val="00C6237F"/>
    <w:rsid w:val="00C6505C"/>
    <w:rsid w:val="00C71A73"/>
    <w:rsid w:val="00C72BE3"/>
    <w:rsid w:val="00C72E3E"/>
    <w:rsid w:val="00C807EE"/>
    <w:rsid w:val="00C80CF9"/>
    <w:rsid w:val="00C83663"/>
    <w:rsid w:val="00C93659"/>
    <w:rsid w:val="00C9427E"/>
    <w:rsid w:val="00C9750D"/>
    <w:rsid w:val="00CA095C"/>
    <w:rsid w:val="00CB5CE0"/>
    <w:rsid w:val="00CB6087"/>
    <w:rsid w:val="00CC64DC"/>
    <w:rsid w:val="00CE0E07"/>
    <w:rsid w:val="00CE233A"/>
    <w:rsid w:val="00CE2A5E"/>
    <w:rsid w:val="00CE2F26"/>
    <w:rsid w:val="00CE748F"/>
    <w:rsid w:val="00CF1568"/>
    <w:rsid w:val="00CF2B99"/>
    <w:rsid w:val="00CF4DC0"/>
    <w:rsid w:val="00D002F6"/>
    <w:rsid w:val="00D00F85"/>
    <w:rsid w:val="00D144E0"/>
    <w:rsid w:val="00D15818"/>
    <w:rsid w:val="00D17B80"/>
    <w:rsid w:val="00D41B31"/>
    <w:rsid w:val="00D55FD5"/>
    <w:rsid w:val="00D6250D"/>
    <w:rsid w:val="00D777ED"/>
    <w:rsid w:val="00D84C47"/>
    <w:rsid w:val="00D9264F"/>
    <w:rsid w:val="00D97C09"/>
    <w:rsid w:val="00DA00E2"/>
    <w:rsid w:val="00DA1374"/>
    <w:rsid w:val="00DB292B"/>
    <w:rsid w:val="00DB529C"/>
    <w:rsid w:val="00DC05B4"/>
    <w:rsid w:val="00DC1A59"/>
    <w:rsid w:val="00DD02F5"/>
    <w:rsid w:val="00DE1B5E"/>
    <w:rsid w:val="00DE1F7E"/>
    <w:rsid w:val="00DE6A72"/>
    <w:rsid w:val="00DE7434"/>
    <w:rsid w:val="00DF2B05"/>
    <w:rsid w:val="00DF3B67"/>
    <w:rsid w:val="00E009FD"/>
    <w:rsid w:val="00E0163D"/>
    <w:rsid w:val="00E01710"/>
    <w:rsid w:val="00E10FFD"/>
    <w:rsid w:val="00E12C49"/>
    <w:rsid w:val="00E15210"/>
    <w:rsid w:val="00E17AC4"/>
    <w:rsid w:val="00E23540"/>
    <w:rsid w:val="00E23DD0"/>
    <w:rsid w:val="00E31063"/>
    <w:rsid w:val="00E335A0"/>
    <w:rsid w:val="00E353E4"/>
    <w:rsid w:val="00E40910"/>
    <w:rsid w:val="00E43F89"/>
    <w:rsid w:val="00E44006"/>
    <w:rsid w:val="00E502CE"/>
    <w:rsid w:val="00E5084E"/>
    <w:rsid w:val="00E54434"/>
    <w:rsid w:val="00E55D99"/>
    <w:rsid w:val="00E75062"/>
    <w:rsid w:val="00E802FC"/>
    <w:rsid w:val="00E81201"/>
    <w:rsid w:val="00E97D42"/>
    <w:rsid w:val="00EA16F4"/>
    <w:rsid w:val="00EA3954"/>
    <w:rsid w:val="00EB0D8F"/>
    <w:rsid w:val="00EB1E46"/>
    <w:rsid w:val="00EB421A"/>
    <w:rsid w:val="00EC6183"/>
    <w:rsid w:val="00ED2927"/>
    <w:rsid w:val="00ED3F52"/>
    <w:rsid w:val="00ED42B6"/>
    <w:rsid w:val="00ED74F3"/>
    <w:rsid w:val="00EE0DE8"/>
    <w:rsid w:val="00EE214E"/>
    <w:rsid w:val="00EF3A0A"/>
    <w:rsid w:val="00EF3A74"/>
    <w:rsid w:val="00EF7DD5"/>
    <w:rsid w:val="00F01419"/>
    <w:rsid w:val="00F01E08"/>
    <w:rsid w:val="00F12520"/>
    <w:rsid w:val="00F128CB"/>
    <w:rsid w:val="00F1595F"/>
    <w:rsid w:val="00F17CD0"/>
    <w:rsid w:val="00F2130B"/>
    <w:rsid w:val="00F215BF"/>
    <w:rsid w:val="00F21B78"/>
    <w:rsid w:val="00F23BCC"/>
    <w:rsid w:val="00F247BC"/>
    <w:rsid w:val="00F24D09"/>
    <w:rsid w:val="00F2627C"/>
    <w:rsid w:val="00F30C43"/>
    <w:rsid w:val="00F36693"/>
    <w:rsid w:val="00F538F5"/>
    <w:rsid w:val="00F5585F"/>
    <w:rsid w:val="00F62067"/>
    <w:rsid w:val="00F62961"/>
    <w:rsid w:val="00F6584B"/>
    <w:rsid w:val="00F66121"/>
    <w:rsid w:val="00F6762D"/>
    <w:rsid w:val="00F728C4"/>
    <w:rsid w:val="00F739F3"/>
    <w:rsid w:val="00F766FE"/>
    <w:rsid w:val="00F84C6D"/>
    <w:rsid w:val="00F91501"/>
    <w:rsid w:val="00F94E78"/>
    <w:rsid w:val="00FA63BB"/>
    <w:rsid w:val="00FB0017"/>
    <w:rsid w:val="00FE012E"/>
    <w:rsid w:val="00FE08BD"/>
    <w:rsid w:val="00FE09B2"/>
    <w:rsid w:val="00FE49C4"/>
    <w:rsid w:val="00FF2835"/>
    <w:rsid w:val="00FF35C4"/>
    <w:rsid w:val="00FF4CD5"/>
    <w:rsid w:val="00FF7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E6D3F1C"/>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34"/>
    <w:qFormat/>
    <w:rsid w:val="00ED42B6"/>
    <w:pPr>
      <w:ind w:left="720"/>
      <w:contextualSpacing/>
    </w:pPr>
  </w:style>
  <w:style w:type="character" w:styleId="Hyperlink">
    <w:name w:val="Hyperlink"/>
    <w:basedOn w:val="DefaultParagraphFont"/>
    <w:uiPriority w:val="99"/>
    <w:unhideWhenUsed/>
    <w:rsid w:val="00E009FD"/>
    <w:rPr>
      <w:color w:val="0563C1"/>
      <w:u w:val="single"/>
    </w:rPr>
  </w:style>
  <w:style w:type="paragraph" w:styleId="PlainText">
    <w:name w:val="Plain Text"/>
    <w:basedOn w:val="Normal"/>
    <w:link w:val="PlainTextChar"/>
    <w:uiPriority w:val="99"/>
    <w:unhideWhenUsed/>
    <w:rsid w:val="00E009FD"/>
    <w:rPr>
      <w:rFonts w:cs="Calibri"/>
      <w:lang w:eastAsia="en-US"/>
    </w:rPr>
  </w:style>
  <w:style w:type="character" w:customStyle="1" w:styleId="PlainTextChar">
    <w:name w:val="Plain Text Char"/>
    <w:basedOn w:val="DefaultParagraphFont"/>
    <w:link w:val="PlainText"/>
    <w:uiPriority w:val="99"/>
    <w:rsid w:val="00E009FD"/>
    <w:rPr>
      <w:rFonts w:ascii="Calibri" w:hAnsi="Calibri" w:cs="Calibri"/>
      <w:sz w:val="22"/>
    </w:rPr>
  </w:style>
  <w:style w:type="character" w:styleId="Strong">
    <w:name w:val="Strong"/>
    <w:basedOn w:val="DefaultParagraphFont"/>
    <w:uiPriority w:val="22"/>
    <w:qFormat/>
    <w:rsid w:val="00552717"/>
    <w:rPr>
      <w:b/>
      <w:bCs/>
    </w:rPr>
  </w:style>
  <w:style w:type="character" w:customStyle="1" w:styleId="ListParagraphChar">
    <w:name w:val="List Paragraph Char"/>
    <w:basedOn w:val="DefaultParagraphFont"/>
    <w:link w:val="ListParagraph"/>
    <w:uiPriority w:val="34"/>
    <w:locked/>
    <w:rsid w:val="00CE2F26"/>
    <w:rPr>
      <w:rFonts w:ascii="Calibri" w:hAnsi="Calibri" w:cs="Times New Roman"/>
      <w:sz w:val="22"/>
      <w:lang w:eastAsia="sl-SI"/>
    </w:rPr>
  </w:style>
  <w:style w:type="character" w:styleId="Emphasis">
    <w:name w:val="Emphasis"/>
    <w:basedOn w:val="DefaultParagraphFont"/>
    <w:uiPriority w:val="20"/>
    <w:qFormat/>
    <w:rsid w:val="00297139"/>
    <w:rPr>
      <w:i/>
      <w:iCs/>
    </w:rPr>
  </w:style>
  <w:style w:type="paragraph" w:customStyle="1" w:styleId="doc-ti">
    <w:name w:val="doc-ti"/>
    <w:basedOn w:val="Normal"/>
    <w:rsid w:val="0041732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47BC"/>
    <w:rPr>
      <w:sz w:val="16"/>
      <w:szCs w:val="16"/>
    </w:rPr>
  </w:style>
  <w:style w:type="paragraph" w:styleId="CommentText">
    <w:name w:val="annotation text"/>
    <w:basedOn w:val="Normal"/>
    <w:link w:val="CommentTextChar"/>
    <w:uiPriority w:val="99"/>
    <w:unhideWhenUsed/>
    <w:rsid w:val="00F247BC"/>
    <w:rPr>
      <w:sz w:val="20"/>
      <w:szCs w:val="20"/>
    </w:rPr>
  </w:style>
  <w:style w:type="character" w:customStyle="1" w:styleId="CommentTextChar">
    <w:name w:val="Comment Text Char"/>
    <w:basedOn w:val="DefaultParagraphFont"/>
    <w:link w:val="CommentText"/>
    <w:uiPriority w:val="99"/>
    <w:rsid w:val="00F247BC"/>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F247BC"/>
    <w:rPr>
      <w:b/>
      <w:bCs/>
    </w:rPr>
  </w:style>
  <w:style w:type="character" w:customStyle="1" w:styleId="CommentSubjectChar">
    <w:name w:val="Comment Subject Char"/>
    <w:basedOn w:val="CommentTextChar"/>
    <w:link w:val="CommentSubject"/>
    <w:uiPriority w:val="99"/>
    <w:semiHidden/>
    <w:rsid w:val="00F247BC"/>
    <w:rPr>
      <w:rFonts w:ascii="Calibri" w:hAnsi="Calibri" w:cs="Times New Roman"/>
      <w:b/>
      <w:bCs/>
      <w:szCs w:val="20"/>
      <w:lang w:eastAsia="sl-SI"/>
    </w:rPr>
  </w:style>
  <w:style w:type="paragraph" w:styleId="BalloonText">
    <w:name w:val="Balloon Text"/>
    <w:basedOn w:val="Normal"/>
    <w:link w:val="BalloonTextChar"/>
    <w:uiPriority w:val="99"/>
    <w:semiHidden/>
    <w:unhideWhenUsed/>
    <w:rsid w:val="00F2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BC"/>
    <w:rPr>
      <w:rFonts w:ascii="Segoe UI" w:hAnsi="Segoe UI" w:cs="Segoe UI"/>
      <w:sz w:val="18"/>
      <w:szCs w:val="18"/>
      <w:lang w:eastAsia="sl-SI"/>
    </w:rPr>
  </w:style>
  <w:style w:type="paragraph" w:styleId="NormalWeb">
    <w:name w:val="Normal (Web)"/>
    <w:basedOn w:val="Normal"/>
    <w:uiPriority w:val="99"/>
    <w:unhideWhenUsed/>
    <w:rsid w:val="00B32E3B"/>
    <w:pPr>
      <w:spacing w:before="100" w:beforeAutospacing="1" w:after="100" w:afterAutospacing="1"/>
    </w:pPr>
    <w:rPr>
      <w:rFonts w:ascii="Times New Roman" w:eastAsia="Times New Roman" w:hAnsi="Times New Roman"/>
      <w:sz w:val="24"/>
      <w:szCs w:val="24"/>
      <w:lang w:val="sv-SE" w:eastAsia="en-US"/>
    </w:rPr>
  </w:style>
  <w:style w:type="paragraph" w:styleId="Header">
    <w:name w:val="header"/>
    <w:basedOn w:val="Normal"/>
    <w:link w:val="HeaderChar"/>
    <w:uiPriority w:val="99"/>
    <w:unhideWhenUsed/>
    <w:rsid w:val="008A60E7"/>
    <w:pPr>
      <w:tabs>
        <w:tab w:val="center" w:pos="4513"/>
        <w:tab w:val="right" w:pos="9026"/>
      </w:tabs>
    </w:pPr>
  </w:style>
  <w:style w:type="character" w:customStyle="1" w:styleId="HeaderChar">
    <w:name w:val="Header Char"/>
    <w:basedOn w:val="DefaultParagraphFont"/>
    <w:link w:val="Header"/>
    <w:uiPriority w:val="99"/>
    <w:rsid w:val="008A60E7"/>
    <w:rPr>
      <w:rFonts w:ascii="Calibri" w:hAnsi="Calibri" w:cs="Times New Roman"/>
      <w:sz w:val="22"/>
      <w:lang w:eastAsia="sl-SI"/>
    </w:rPr>
  </w:style>
  <w:style w:type="paragraph" w:styleId="Footer">
    <w:name w:val="footer"/>
    <w:basedOn w:val="Normal"/>
    <w:link w:val="FooterChar"/>
    <w:uiPriority w:val="99"/>
    <w:unhideWhenUsed/>
    <w:rsid w:val="008A60E7"/>
    <w:pPr>
      <w:tabs>
        <w:tab w:val="center" w:pos="4513"/>
        <w:tab w:val="right" w:pos="9026"/>
      </w:tabs>
    </w:pPr>
  </w:style>
  <w:style w:type="character" w:customStyle="1" w:styleId="FooterChar">
    <w:name w:val="Footer Char"/>
    <w:basedOn w:val="DefaultParagraphFont"/>
    <w:link w:val="Footer"/>
    <w:uiPriority w:val="99"/>
    <w:rsid w:val="008A60E7"/>
    <w:rPr>
      <w:rFonts w:ascii="Calibri" w:hAnsi="Calibri" w:cs="Times New Roman"/>
      <w:sz w:val="22"/>
      <w:lang w:eastAsia="sl-SI"/>
    </w:rPr>
  </w:style>
  <w:style w:type="character" w:customStyle="1" w:styleId="Nerazreenaomemba1">
    <w:name w:val="Nerazrešena omemba1"/>
    <w:basedOn w:val="DefaultParagraphFont"/>
    <w:uiPriority w:val="99"/>
    <w:semiHidden/>
    <w:unhideWhenUsed/>
    <w:rsid w:val="008A60E7"/>
    <w:rPr>
      <w:color w:val="605E5C"/>
      <w:shd w:val="clear" w:color="auto" w:fill="E1DFDD"/>
    </w:rPr>
  </w:style>
  <w:style w:type="table" w:styleId="TableGrid">
    <w:name w:val="Table Grid"/>
    <w:basedOn w:val="TableNormal"/>
    <w:uiPriority w:val="39"/>
    <w:rsid w:val="008A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19"/>
    <w:rPr>
      <w:color w:val="605E5C"/>
      <w:shd w:val="clear" w:color="auto" w:fill="E1DFDD"/>
    </w:rPr>
  </w:style>
  <w:style w:type="character" w:styleId="FollowedHyperlink">
    <w:name w:val="FollowedHyperlink"/>
    <w:basedOn w:val="DefaultParagraphFont"/>
    <w:uiPriority w:val="99"/>
    <w:semiHidden/>
    <w:unhideWhenUsed/>
    <w:rsid w:val="007C2A07"/>
    <w:rPr>
      <w:color w:val="954F72" w:themeColor="followedHyperlink"/>
      <w:u w:val="single"/>
    </w:rPr>
  </w:style>
  <w:style w:type="paragraph" w:styleId="FootnoteText">
    <w:name w:val="footnote text"/>
    <w:basedOn w:val="Normal"/>
    <w:link w:val="FootnoteTextChar"/>
    <w:uiPriority w:val="99"/>
    <w:semiHidden/>
    <w:unhideWhenUsed/>
    <w:rsid w:val="006120B0"/>
    <w:rPr>
      <w:sz w:val="20"/>
      <w:szCs w:val="20"/>
    </w:rPr>
  </w:style>
  <w:style w:type="character" w:customStyle="1" w:styleId="FootnoteTextChar">
    <w:name w:val="Footnote Text Char"/>
    <w:basedOn w:val="DefaultParagraphFont"/>
    <w:link w:val="FootnoteText"/>
    <w:uiPriority w:val="99"/>
    <w:semiHidden/>
    <w:rsid w:val="006120B0"/>
    <w:rPr>
      <w:rFonts w:ascii="Calibri" w:hAnsi="Calibri" w:cs="Times New Roman"/>
      <w:szCs w:val="20"/>
      <w:lang w:eastAsia="sl-SI"/>
    </w:rPr>
  </w:style>
  <w:style w:type="character" w:styleId="FootnoteReference">
    <w:name w:val="footnote reference"/>
    <w:basedOn w:val="DefaultParagraphFont"/>
    <w:uiPriority w:val="99"/>
    <w:semiHidden/>
    <w:unhideWhenUsed/>
    <w:rsid w:val="006120B0"/>
    <w:rPr>
      <w:vertAlign w:val="superscript"/>
    </w:rPr>
  </w:style>
  <w:style w:type="paragraph" w:styleId="Revision">
    <w:name w:val="Revision"/>
    <w:hidden/>
    <w:uiPriority w:val="99"/>
    <w:semiHidden/>
    <w:rsid w:val="00A975AF"/>
    <w:pPr>
      <w:spacing w:after="0" w:line="240" w:lineRule="auto"/>
    </w:pPr>
    <w:rPr>
      <w:rFonts w:ascii="Calibri" w:hAnsi="Calibri" w:cs="Times New Roman"/>
      <w:sz w:val="22"/>
      <w:lang w:eastAsia="sl-SI"/>
    </w:rPr>
  </w:style>
  <w:style w:type="paragraph" w:customStyle="1" w:styleId="xmsonormal">
    <w:name w:val="x_msonormal"/>
    <w:basedOn w:val="Normal"/>
    <w:rsid w:val="00E10FFD"/>
    <w:rPr>
      <w:rFonts w:cs="Calibri"/>
    </w:rPr>
  </w:style>
  <w:style w:type="paragraph" w:customStyle="1" w:styleId="ydp8696ca17msonormal">
    <w:name w:val="ydp8696ca17msonormal"/>
    <w:basedOn w:val="Normal"/>
    <w:rsid w:val="004830B9"/>
    <w:pPr>
      <w:spacing w:before="100" w:beforeAutospacing="1" w:after="100" w:afterAutospacing="1"/>
    </w:pPr>
    <w:rPr>
      <w:rFonts w:cs="Calibri"/>
    </w:rPr>
  </w:style>
  <w:style w:type="paragraph" w:customStyle="1" w:styleId="Body">
    <w:name w:val="Body"/>
    <w:basedOn w:val="Normal"/>
    <w:uiPriority w:val="99"/>
    <w:rsid w:val="00E353E4"/>
    <w:rPr>
      <w:rFonts w:ascii="Helvetica Neue" w:hAnsi="Helvetica Neue"/>
      <w:color w:val="000000"/>
    </w:rPr>
  </w:style>
  <w:style w:type="character" w:customStyle="1" w:styleId="lexitem">
    <w:name w:val="lexitem"/>
    <w:basedOn w:val="DefaultParagraphFont"/>
    <w:rsid w:val="0063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
      <w:bodyDiv w:val="1"/>
      <w:marLeft w:val="0"/>
      <w:marRight w:val="0"/>
      <w:marTop w:val="0"/>
      <w:marBottom w:val="0"/>
      <w:divBdr>
        <w:top w:val="none" w:sz="0" w:space="0" w:color="auto"/>
        <w:left w:val="none" w:sz="0" w:space="0" w:color="auto"/>
        <w:bottom w:val="none" w:sz="0" w:space="0" w:color="auto"/>
        <w:right w:val="none" w:sz="0" w:space="0" w:color="auto"/>
      </w:divBdr>
    </w:div>
    <w:div w:id="10301960">
      <w:bodyDiv w:val="1"/>
      <w:marLeft w:val="0"/>
      <w:marRight w:val="0"/>
      <w:marTop w:val="0"/>
      <w:marBottom w:val="0"/>
      <w:divBdr>
        <w:top w:val="none" w:sz="0" w:space="0" w:color="auto"/>
        <w:left w:val="none" w:sz="0" w:space="0" w:color="auto"/>
        <w:bottom w:val="none" w:sz="0" w:space="0" w:color="auto"/>
        <w:right w:val="none" w:sz="0" w:space="0" w:color="auto"/>
      </w:divBdr>
    </w:div>
    <w:div w:id="73406695">
      <w:bodyDiv w:val="1"/>
      <w:marLeft w:val="0"/>
      <w:marRight w:val="0"/>
      <w:marTop w:val="0"/>
      <w:marBottom w:val="0"/>
      <w:divBdr>
        <w:top w:val="none" w:sz="0" w:space="0" w:color="auto"/>
        <w:left w:val="none" w:sz="0" w:space="0" w:color="auto"/>
        <w:bottom w:val="none" w:sz="0" w:space="0" w:color="auto"/>
        <w:right w:val="none" w:sz="0" w:space="0" w:color="auto"/>
      </w:divBdr>
    </w:div>
    <w:div w:id="77219613">
      <w:bodyDiv w:val="1"/>
      <w:marLeft w:val="0"/>
      <w:marRight w:val="0"/>
      <w:marTop w:val="0"/>
      <w:marBottom w:val="0"/>
      <w:divBdr>
        <w:top w:val="none" w:sz="0" w:space="0" w:color="auto"/>
        <w:left w:val="none" w:sz="0" w:space="0" w:color="auto"/>
        <w:bottom w:val="none" w:sz="0" w:space="0" w:color="auto"/>
        <w:right w:val="none" w:sz="0" w:space="0" w:color="auto"/>
      </w:divBdr>
    </w:div>
    <w:div w:id="87773503">
      <w:bodyDiv w:val="1"/>
      <w:marLeft w:val="0"/>
      <w:marRight w:val="0"/>
      <w:marTop w:val="0"/>
      <w:marBottom w:val="0"/>
      <w:divBdr>
        <w:top w:val="none" w:sz="0" w:space="0" w:color="auto"/>
        <w:left w:val="none" w:sz="0" w:space="0" w:color="auto"/>
        <w:bottom w:val="none" w:sz="0" w:space="0" w:color="auto"/>
        <w:right w:val="none" w:sz="0" w:space="0" w:color="auto"/>
      </w:divBdr>
    </w:div>
    <w:div w:id="90052397">
      <w:bodyDiv w:val="1"/>
      <w:marLeft w:val="0"/>
      <w:marRight w:val="0"/>
      <w:marTop w:val="0"/>
      <w:marBottom w:val="0"/>
      <w:divBdr>
        <w:top w:val="none" w:sz="0" w:space="0" w:color="auto"/>
        <w:left w:val="none" w:sz="0" w:space="0" w:color="auto"/>
        <w:bottom w:val="none" w:sz="0" w:space="0" w:color="auto"/>
        <w:right w:val="none" w:sz="0" w:space="0" w:color="auto"/>
      </w:divBdr>
    </w:div>
    <w:div w:id="92476548">
      <w:bodyDiv w:val="1"/>
      <w:marLeft w:val="0"/>
      <w:marRight w:val="0"/>
      <w:marTop w:val="0"/>
      <w:marBottom w:val="0"/>
      <w:divBdr>
        <w:top w:val="none" w:sz="0" w:space="0" w:color="auto"/>
        <w:left w:val="none" w:sz="0" w:space="0" w:color="auto"/>
        <w:bottom w:val="none" w:sz="0" w:space="0" w:color="auto"/>
        <w:right w:val="none" w:sz="0" w:space="0" w:color="auto"/>
      </w:divBdr>
    </w:div>
    <w:div w:id="165101273">
      <w:bodyDiv w:val="1"/>
      <w:marLeft w:val="0"/>
      <w:marRight w:val="0"/>
      <w:marTop w:val="0"/>
      <w:marBottom w:val="0"/>
      <w:divBdr>
        <w:top w:val="none" w:sz="0" w:space="0" w:color="auto"/>
        <w:left w:val="none" w:sz="0" w:space="0" w:color="auto"/>
        <w:bottom w:val="none" w:sz="0" w:space="0" w:color="auto"/>
        <w:right w:val="none" w:sz="0" w:space="0" w:color="auto"/>
      </w:divBdr>
    </w:div>
    <w:div w:id="190652478">
      <w:bodyDiv w:val="1"/>
      <w:marLeft w:val="0"/>
      <w:marRight w:val="0"/>
      <w:marTop w:val="0"/>
      <w:marBottom w:val="0"/>
      <w:divBdr>
        <w:top w:val="none" w:sz="0" w:space="0" w:color="auto"/>
        <w:left w:val="none" w:sz="0" w:space="0" w:color="auto"/>
        <w:bottom w:val="none" w:sz="0" w:space="0" w:color="auto"/>
        <w:right w:val="none" w:sz="0" w:space="0" w:color="auto"/>
      </w:divBdr>
    </w:div>
    <w:div w:id="225193070">
      <w:bodyDiv w:val="1"/>
      <w:marLeft w:val="0"/>
      <w:marRight w:val="0"/>
      <w:marTop w:val="0"/>
      <w:marBottom w:val="0"/>
      <w:divBdr>
        <w:top w:val="none" w:sz="0" w:space="0" w:color="auto"/>
        <w:left w:val="none" w:sz="0" w:space="0" w:color="auto"/>
        <w:bottom w:val="none" w:sz="0" w:space="0" w:color="auto"/>
        <w:right w:val="none" w:sz="0" w:space="0" w:color="auto"/>
      </w:divBdr>
    </w:div>
    <w:div w:id="228883857">
      <w:bodyDiv w:val="1"/>
      <w:marLeft w:val="0"/>
      <w:marRight w:val="0"/>
      <w:marTop w:val="0"/>
      <w:marBottom w:val="0"/>
      <w:divBdr>
        <w:top w:val="none" w:sz="0" w:space="0" w:color="auto"/>
        <w:left w:val="none" w:sz="0" w:space="0" w:color="auto"/>
        <w:bottom w:val="none" w:sz="0" w:space="0" w:color="auto"/>
        <w:right w:val="none" w:sz="0" w:space="0" w:color="auto"/>
      </w:divBdr>
    </w:div>
    <w:div w:id="233974040">
      <w:bodyDiv w:val="1"/>
      <w:marLeft w:val="0"/>
      <w:marRight w:val="0"/>
      <w:marTop w:val="0"/>
      <w:marBottom w:val="0"/>
      <w:divBdr>
        <w:top w:val="none" w:sz="0" w:space="0" w:color="auto"/>
        <w:left w:val="none" w:sz="0" w:space="0" w:color="auto"/>
        <w:bottom w:val="none" w:sz="0" w:space="0" w:color="auto"/>
        <w:right w:val="none" w:sz="0" w:space="0" w:color="auto"/>
      </w:divBdr>
    </w:div>
    <w:div w:id="246113036">
      <w:bodyDiv w:val="1"/>
      <w:marLeft w:val="0"/>
      <w:marRight w:val="0"/>
      <w:marTop w:val="0"/>
      <w:marBottom w:val="0"/>
      <w:divBdr>
        <w:top w:val="none" w:sz="0" w:space="0" w:color="auto"/>
        <w:left w:val="none" w:sz="0" w:space="0" w:color="auto"/>
        <w:bottom w:val="none" w:sz="0" w:space="0" w:color="auto"/>
        <w:right w:val="none" w:sz="0" w:space="0" w:color="auto"/>
      </w:divBdr>
      <w:divsChild>
        <w:div w:id="883906859">
          <w:marLeft w:val="446"/>
          <w:marRight w:val="0"/>
          <w:marTop w:val="0"/>
          <w:marBottom w:val="0"/>
          <w:divBdr>
            <w:top w:val="none" w:sz="0" w:space="0" w:color="auto"/>
            <w:left w:val="none" w:sz="0" w:space="0" w:color="auto"/>
            <w:bottom w:val="none" w:sz="0" w:space="0" w:color="auto"/>
            <w:right w:val="none" w:sz="0" w:space="0" w:color="auto"/>
          </w:divBdr>
        </w:div>
        <w:div w:id="2079016475">
          <w:marLeft w:val="446"/>
          <w:marRight w:val="0"/>
          <w:marTop w:val="0"/>
          <w:marBottom w:val="0"/>
          <w:divBdr>
            <w:top w:val="none" w:sz="0" w:space="0" w:color="auto"/>
            <w:left w:val="none" w:sz="0" w:space="0" w:color="auto"/>
            <w:bottom w:val="none" w:sz="0" w:space="0" w:color="auto"/>
            <w:right w:val="none" w:sz="0" w:space="0" w:color="auto"/>
          </w:divBdr>
        </w:div>
      </w:divsChild>
    </w:div>
    <w:div w:id="288515308">
      <w:bodyDiv w:val="1"/>
      <w:marLeft w:val="0"/>
      <w:marRight w:val="0"/>
      <w:marTop w:val="0"/>
      <w:marBottom w:val="0"/>
      <w:divBdr>
        <w:top w:val="none" w:sz="0" w:space="0" w:color="auto"/>
        <w:left w:val="none" w:sz="0" w:space="0" w:color="auto"/>
        <w:bottom w:val="none" w:sz="0" w:space="0" w:color="auto"/>
        <w:right w:val="none" w:sz="0" w:space="0" w:color="auto"/>
      </w:divBdr>
    </w:div>
    <w:div w:id="293172881">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
    <w:div w:id="339357498">
      <w:bodyDiv w:val="1"/>
      <w:marLeft w:val="0"/>
      <w:marRight w:val="0"/>
      <w:marTop w:val="0"/>
      <w:marBottom w:val="0"/>
      <w:divBdr>
        <w:top w:val="none" w:sz="0" w:space="0" w:color="auto"/>
        <w:left w:val="none" w:sz="0" w:space="0" w:color="auto"/>
        <w:bottom w:val="none" w:sz="0" w:space="0" w:color="auto"/>
        <w:right w:val="none" w:sz="0" w:space="0" w:color="auto"/>
      </w:divBdr>
      <w:divsChild>
        <w:div w:id="715932510">
          <w:marLeft w:val="0"/>
          <w:marRight w:val="0"/>
          <w:marTop w:val="120"/>
          <w:marBottom w:val="0"/>
          <w:divBdr>
            <w:top w:val="none" w:sz="0" w:space="0" w:color="auto"/>
            <w:left w:val="none" w:sz="0" w:space="0" w:color="auto"/>
            <w:bottom w:val="none" w:sz="0" w:space="0" w:color="auto"/>
            <w:right w:val="none" w:sz="0" w:space="0" w:color="auto"/>
          </w:divBdr>
          <w:divsChild>
            <w:div w:id="1300187699">
              <w:marLeft w:val="120"/>
              <w:marRight w:val="0"/>
              <w:marTop w:val="0"/>
              <w:marBottom w:val="0"/>
              <w:divBdr>
                <w:top w:val="none" w:sz="0" w:space="0" w:color="auto"/>
                <w:left w:val="none" w:sz="0" w:space="0" w:color="auto"/>
                <w:bottom w:val="none" w:sz="0" w:space="0" w:color="auto"/>
                <w:right w:val="none" w:sz="0" w:space="0" w:color="auto"/>
              </w:divBdr>
              <w:divsChild>
                <w:div w:id="1586453185">
                  <w:marLeft w:val="0"/>
                  <w:marRight w:val="0"/>
                  <w:marTop w:val="195"/>
                  <w:marBottom w:val="0"/>
                  <w:divBdr>
                    <w:top w:val="single" w:sz="6" w:space="0" w:color="000000"/>
                    <w:left w:val="none" w:sz="0" w:space="0" w:color="auto"/>
                    <w:bottom w:val="none" w:sz="0" w:space="0" w:color="auto"/>
                    <w:right w:val="none" w:sz="0" w:space="0" w:color="auto"/>
                  </w:divBdr>
                  <w:divsChild>
                    <w:div w:id="212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217">
      <w:bodyDiv w:val="1"/>
      <w:marLeft w:val="0"/>
      <w:marRight w:val="0"/>
      <w:marTop w:val="0"/>
      <w:marBottom w:val="0"/>
      <w:divBdr>
        <w:top w:val="none" w:sz="0" w:space="0" w:color="auto"/>
        <w:left w:val="none" w:sz="0" w:space="0" w:color="auto"/>
        <w:bottom w:val="none" w:sz="0" w:space="0" w:color="auto"/>
        <w:right w:val="none" w:sz="0" w:space="0" w:color="auto"/>
      </w:divBdr>
    </w:div>
    <w:div w:id="350227204">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388962892">
      <w:bodyDiv w:val="1"/>
      <w:marLeft w:val="0"/>
      <w:marRight w:val="0"/>
      <w:marTop w:val="0"/>
      <w:marBottom w:val="0"/>
      <w:divBdr>
        <w:top w:val="none" w:sz="0" w:space="0" w:color="auto"/>
        <w:left w:val="none" w:sz="0" w:space="0" w:color="auto"/>
        <w:bottom w:val="none" w:sz="0" w:space="0" w:color="auto"/>
        <w:right w:val="none" w:sz="0" w:space="0" w:color="auto"/>
      </w:divBdr>
    </w:div>
    <w:div w:id="412043868">
      <w:bodyDiv w:val="1"/>
      <w:marLeft w:val="0"/>
      <w:marRight w:val="0"/>
      <w:marTop w:val="0"/>
      <w:marBottom w:val="0"/>
      <w:divBdr>
        <w:top w:val="none" w:sz="0" w:space="0" w:color="auto"/>
        <w:left w:val="none" w:sz="0" w:space="0" w:color="auto"/>
        <w:bottom w:val="none" w:sz="0" w:space="0" w:color="auto"/>
        <w:right w:val="none" w:sz="0" w:space="0" w:color="auto"/>
      </w:divBdr>
    </w:div>
    <w:div w:id="416677992">
      <w:bodyDiv w:val="1"/>
      <w:marLeft w:val="0"/>
      <w:marRight w:val="0"/>
      <w:marTop w:val="0"/>
      <w:marBottom w:val="0"/>
      <w:divBdr>
        <w:top w:val="none" w:sz="0" w:space="0" w:color="auto"/>
        <w:left w:val="none" w:sz="0" w:space="0" w:color="auto"/>
        <w:bottom w:val="none" w:sz="0" w:space="0" w:color="auto"/>
        <w:right w:val="none" w:sz="0" w:space="0" w:color="auto"/>
      </w:divBdr>
    </w:div>
    <w:div w:id="466124767">
      <w:bodyDiv w:val="1"/>
      <w:marLeft w:val="0"/>
      <w:marRight w:val="0"/>
      <w:marTop w:val="0"/>
      <w:marBottom w:val="0"/>
      <w:divBdr>
        <w:top w:val="none" w:sz="0" w:space="0" w:color="auto"/>
        <w:left w:val="none" w:sz="0" w:space="0" w:color="auto"/>
        <w:bottom w:val="none" w:sz="0" w:space="0" w:color="auto"/>
        <w:right w:val="none" w:sz="0" w:space="0" w:color="auto"/>
      </w:divBdr>
    </w:div>
    <w:div w:id="492526521">
      <w:bodyDiv w:val="1"/>
      <w:marLeft w:val="0"/>
      <w:marRight w:val="0"/>
      <w:marTop w:val="0"/>
      <w:marBottom w:val="0"/>
      <w:divBdr>
        <w:top w:val="none" w:sz="0" w:space="0" w:color="auto"/>
        <w:left w:val="none" w:sz="0" w:space="0" w:color="auto"/>
        <w:bottom w:val="none" w:sz="0" w:space="0" w:color="auto"/>
        <w:right w:val="none" w:sz="0" w:space="0" w:color="auto"/>
      </w:divBdr>
      <w:divsChild>
        <w:div w:id="539170758">
          <w:marLeft w:val="446"/>
          <w:marRight w:val="0"/>
          <w:marTop w:val="0"/>
          <w:marBottom w:val="0"/>
          <w:divBdr>
            <w:top w:val="none" w:sz="0" w:space="0" w:color="auto"/>
            <w:left w:val="none" w:sz="0" w:space="0" w:color="auto"/>
            <w:bottom w:val="none" w:sz="0" w:space="0" w:color="auto"/>
            <w:right w:val="none" w:sz="0" w:space="0" w:color="auto"/>
          </w:divBdr>
        </w:div>
      </w:divsChild>
    </w:div>
    <w:div w:id="501051337">
      <w:bodyDiv w:val="1"/>
      <w:marLeft w:val="0"/>
      <w:marRight w:val="0"/>
      <w:marTop w:val="0"/>
      <w:marBottom w:val="0"/>
      <w:divBdr>
        <w:top w:val="none" w:sz="0" w:space="0" w:color="auto"/>
        <w:left w:val="none" w:sz="0" w:space="0" w:color="auto"/>
        <w:bottom w:val="none" w:sz="0" w:space="0" w:color="auto"/>
        <w:right w:val="none" w:sz="0" w:space="0" w:color="auto"/>
      </w:divBdr>
    </w:div>
    <w:div w:id="514154155">
      <w:bodyDiv w:val="1"/>
      <w:marLeft w:val="0"/>
      <w:marRight w:val="0"/>
      <w:marTop w:val="0"/>
      <w:marBottom w:val="0"/>
      <w:divBdr>
        <w:top w:val="none" w:sz="0" w:space="0" w:color="auto"/>
        <w:left w:val="none" w:sz="0" w:space="0" w:color="auto"/>
        <w:bottom w:val="none" w:sz="0" w:space="0" w:color="auto"/>
        <w:right w:val="none" w:sz="0" w:space="0" w:color="auto"/>
      </w:divBdr>
    </w:div>
    <w:div w:id="523323082">
      <w:bodyDiv w:val="1"/>
      <w:marLeft w:val="0"/>
      <w:marRight w:val="0"/>
      <w:marTop w:val="0"/>
      <w:marBottom w:val="0"/>
      <w:divBdr>
        <w:top w:val="none" w:sz="0" w:space="0" w:color="auto"/>
        <w:left w:val="none" w:sz="0" w:space="0" w:color="auto"/>
        <w:bottom w:val="none" w:sz="0" w:space="0" w:color="auto"/>
        <w:right w:val="none" w:sz="0" w:space="0" w:color="auto"/>
      </w:divBdr>
    </w:div>
    <w:div w:id="541525476">
      <w:bodyDiv w:val="1"/>
      <w:marLeft w:val="0"/>
      <w:marRight w:val="0"/>
      <w:marTop w:val="0"/>
      <w:marBottom w:val="0"/>
      <w:divBdr>
        <w:top w:val="none" w:sz="0" w:space="0" w:color="auto"/>
        <w:left w:val="none" w:sz="0" w:space="0" w:color="auto"/>
        <w:bottom w:val="none" w:sz="0" w:space="0" w:color="auto"/>
        <w:right w:val="none" w:sz="0" w:space="0" w:color="auto"/>
      </w:divBdr>
    </w:div>
    <w:div w:id="556548011">
      <w:bodyDiv w:val="1"/>
      <w:marLeft w:val="0"/>
      <w:marRight w:val="0"/>
      <w:marTop w:val="0"/>
      <w:marBottom w:val="0"/>
      <w:divBdr>
        <w:top w:val="none" w:sz="0" w:space="0" w:color="auto"/>
        <w:left w:val="none" w:sz="0" w:space="0" w:color="auto"/>
        <w:bottom w:val="none" w:sz="0" w:space="0" w:color="auto"/>
        <w:right w:val="none" w:sz="0" w:space="0" w:color="auto"/>
      </w:divBdr>
    </w:div>
    <w:div w:id="557329069">
      <w:bodyDiv w:val="1"/>
      <w:marLeft w:val="0"/>
      <w:marRight w:val="0"/>
      <w:marTop w:val="0"/>
      <w:marBottom w:val="0"/>
      <w:divBdr>
        <w:top w:val="none" w:sz="0" w:space="0" w:color="auto"/>
        <w:left w:val="none" w:sz="0" w:space="0" w:color="auto"/>
        <w:bottom w:val="none" w:sz="0" w:space="0" w:color="auto"/>
        <w:right w:val="none" w:sz="0" w:space="0" w:color="auto"/>
      </w:divBdr>
    </w:div>
    <w:div w:id="570428660">
      <w:bodyDiv w:val="1"/>
      <w:marLeft w:val="0"/>
      <w:marRight w:val="0"/>
      <w:marTop w:val="0"/>
      <w:marBottom w:val="0"/>
      <w:divBdr>
        <w:top w:val="none" w:sz="0" w:space="0" w:color="auto"/>
        <w:left w:val="none" w:sz="0" w:space="0" w:color="auto"/>
        <w:bottom w:val="none" w:sz="0" w:space="0" w:color="auto"/>
        <w:right w:val="none" w:sz="0" w:space="0" w:color="auto"/>
      </w:divBdr>
    </w:div>
    <w:div w:id="607851594">
      <w:bodyDiv w:val="1"/>
      <w:marLeft w:val="0"/>
      <w:marRight w:val="0"/>
      <w:marTop w:val="0"/>
      <w:marBottom w:val="0"/>
      <w:divBdr>
        <w:top w:val="none" w:sz="0" w:space="0" w:color="auto"/>
        <w:left w:val="none" w:sz="0" w:space="0" w:color="auto"/>
        <w:bottom w:val="none" w:sz="0" w:space="0" w:color="auto"/>
        <w:right w:val="none" w:sz="0" w:space="0" w:color="auto"/>
      </w:divBdr>
    </w:div>
    <w:div w:id="610747923">
      <w:bodyDiv w:val="1"/>
      <w:marLeft w:val="0"/>
      <w:marRight w:val="0"/>
      <w:marTop w:val="0"/>
      <w:marBottom w:val="0"/>
      <w:divBdr>
        <w:top w:val="none" w:sz="0" w:space="0" w:color="auto"/>
        <w:left w:val="none" w:sz="0" w:space="0" w:color="auto"/>
        <w:bottom w:val="none" w:sz="0" w:space="0" w:color="auto"/>
        <w:right w:val="none" w:sz="0" w:space="0" w:color="auto"/>
      </w:divBdr>
    </w:div>
    <w:div w:id="623388237">
      <w:bodyDiv w:val="1"/>
      <w:marLeft w:val="0"/>
      <w:marRight w:val="0"/>
      <w:marTop w:val="0"/>
      <w:marBottom w:val="0"/>
      <w:divBdr>
        <w:top w:val="none" w:sz="0" w:space="0" w:color="auto"/>
        <w:left w:val="none" w:sz="0" w:space="0" w:color="auto"/>
        <w:bottom w:val="none" w:sz="0" w:space="0" w:color="auto"/>
        <w:right w:val="none" w:sz="0" w:space="0" w:color="auto"/>
      </w:divBdr>
    </w:div>
    <w:div w:id="643241543">
      <w:bodyDiv w:val="1"/>
      <w:marLeft w:val="0"/>
      <w:marRight w:val="0"/>
      <w:marTop w:val="0"/>
      <w:marBottom w:val="0"/>
      <w:divBdr>
        <w:top w:val="none" w:sz="0" w:space="0" w:color="auto"/>
        <w:left w:val="none" w:sz="0" w:space="0" w:color="auto"/>
        <w:bottom w:val="none" w:sz="0" w:space="0" w:color="auto"/>
        <w:right w:val="none" w:sz="0" w:space="0" w:color="auto"/>
      </w:divBdr>
    </w:div>
    <w:div w:id="674765665">
      <w:bodyDiv w:val="1"/>
      <w:marLeft w:val="0"/>
      <w:marRight w:val="0"/>
      <w:marTop w:val="0"/>
      <w:marBottom w:val="0"/>
      <w:divBdr>
        <w:top w:val="none" w:sz="0" w:space="0" w:color="auto"/>
        <w:left w:val="none" w:sz="0" w:space="0" w:color="auto"/>
        <w:bottom w:val="none" w:sz="0" w:space="0" w:color="auto"/>
        <w:right w:val="none" w:sz="0" w:space="0" w:color="auto"/>
      </w:divBdr>
    </w:div>
    <w:div w:id="697511863">
      <w:bodyDiv w:val="1"/>
      <w:marLeft w:val="0"/>
      <w:marRight w:val="0"/>
      <w:marTop w:val="0"/>
      <w:marBottom w:val="0"/>
      <w:divBdr>
        <w:top w:val="none" w:sz="0" w:space="0" w:color="auto"/>
        <w:left w:val="none" w:sz="0" w:space="0" w:color="auto"/>
        <w:bottom w:val="none" w:sz="0" w:space="0" w:color="auto"/>
        <w:right w:val="none" w:sz="0" w:space="0" w:color="auto"/>
      </w:divBdr>
    </w:div>
    <w:div w:id="709107133">
      <w:bodyDiv w:val="1"/>
      <w:marLeft w:val="0"/>
      <w:marRight w:val="0"/>
      <w:marTop w:val="0"/>
      <w:marBottom w:val="0"/>
      <w:divBdr>
        <w:top w:val="none" w:sz="0" w:space="0" w:color="auto"/>
        <w:left w:val="none" w:sz="0" w:space="0" w:color="auto"/>
        <w:bottom w:val="none" w:sz="0" w:space="0" w:color="auto"/>
        <w:right w:val="none" w:sz="0" w:space="0" w:color="auto"/>
      </w:divBdr>
    </w:div>
    <w:div w:id="725379581">
      <w:bodyDiv w:val="1"/>
      <w:marLeft w:val="0"/>
      <w:marRight w:val="0"/>
      <w:marTop w:val="0"/>
      <w:marBottom w:val="0"/>
      <w:divBdr>
        <w:top w:val="none" w:sz="0" w:space="0" w:color="auto"/>
        <w:left w:val="none" w:sz="0" w:space="0" w:color="auto"/>
        <w:bottom w:val="none" w:sz="0" w:space="0" w:color="auto"/>
        <w:right w:val="none" w:sz="0" w:space="0" w:color="auto"/>
      </w:divBdr>
    </w:div>
    <w:div w:id="735250057">
      <w:bodyDiv w:val="1"/>
      <w:marLeft w:val="0"/>
      <w:marRight w:val="0"/>
      <w:marTop w:val="0"/>
      <w:marBottom w:val="0"/>
      <w:divBdr>
        <w:top w:val="none" w:sz="0" w:space="0" w:color="auto"/>
        <w:left w:val="none" w:sz="0" w:space="0" w:color="auto"/>
        <w:bottom w:val="none" w:sz="0" w:space="0" w:color="auto"/>
        <w:right w:val="none" w:sz="0" w:space="0" w:color="auto"/>
      </w:divBdr>
    </w:div>
    <w:div w:id="739328149">
      <w:bodyDiv w:val="1"/>
      <w:marLeft w:val="0"/>
      <w:marRight w:val="0"/>
      <w:marTop w:val="0"/>
      <w:marBottom w:val="0"/>
      <w:divBdr>
        <w:top w:val="none" w:sz="0" w:space="0" w:color="auto"/>
        <w:left w:val="none" w:sz="0" w:space="0" w:color="auto"/>
        <w:bottom w:val="none" w:sz="0" w:space="0" w:color="auto"/>
        <w:right w:val="none" w:sz="0" w:space="0" w:color="auto"/>
      </w:divBdr>
    </w:div>
    <w:div w:id="809249806">
      <w:bodyDiv w:val="1"/>
      <w:marLeft w:val="0"/>
      <w:marRight w:val="0"/>
      <w:marTop w:val="0"/>
      <w:marBottom w:val="0"/>
      <w:divBdr>
        <w:top w:val="none" w:sz="0" w:space="0" w:color="auto"/>
        <w:left w:val="none" w:sz="0" w:space="0" w:color="auto"/>
        <w:bottom w:val="none" w:sz="0" w:space="0" w:color="auto"/>
        <w:right w:val="none" w:sz="0" w:space="0" w:color="auto"/>
      </w:divBdr>
    </w:div>
    <w:div w:id="817647177">
      <w:bodyDiv w:val="1"/>
      <w:marLeft w:val="0"/>
      <w:marRight w:val="0"/>
      <w:marTop w:val="0"/>
      <w:marBottom w:val="0"/>
      <w:divBdr>
        <w:top w:val="none" w:sz="0" w:space="0" w:color="auto"/>
        <w:left w:val="none" w:sz="0" w:space="0" w:color="auto"/>
        <w:bottom w:val="none" w:sz="0" w:space="0" w:color="auto"/>
        <w:right w:val="none" w:sz="0" w:space="0" w:color="auto"/>
      </w:divBdr>
    </w:div>
    <w:div w:id="847910653">
      <w:bodyDiv w:val="1"/>
      <w:marLeft w:val="0"/>
      <w:marRight w:val="0"/>
      <w:marTop w:val="0"/>
      <w:marBottom w:val="0"/>
      <w:divBdr>
        <w:top w:val="none" w:sz="0" w:space="0" w:color="auto"/>
        <w:left w:val="none" w:sz="0" w:space="0" w:color="auto"/>
        <w:bottom w:val="none" w:sz="0" w:space="0" w:color="auto"/>
        <w:right w:val="none" w:sz="0" w:space="0" w:color="auto"/>
      </w:divBdr>
    </w:div>
    <w:div w:id="901602808">
      <w:bodyDiv w:val="1"/>
      <w:marLeft w:val="0"/>
      <w:marRight w:val="0"/>
      <w:marTop w:val="0"/>
      <w:marBottom w:val="0"/>
      <w:divBdr>
        <w:top w:val="none" w:sz="0" w:space="0" w:color="auto"/>
        <w:left w:val="none" w:sz="0" w:space="0" w:color="auto"/>
        <w:bottom w:val="none" w:sz="0" w:space="0" w:color="auto"/>
        <w:right w:val="none" w:sz="0" w:space="0" w:color="auto"/>
      </w:divBdr>
    </w:div>
    <w:div w:id="931860899">
      <w:bodyDiv w:val="1"/>
      <w:marLeft w:val="0"/>
      <w:marRight w:val="0"/>
      <w:marTop w:val="0"/>
      <w:marBottom w:val="0"/>
      <w:divBdr>
        <w:top w:val="none" w:sz="0" w:space="0" w:color="auto"/>
        <w:left w:val="none" w:sz="0" w:space="0" w:color="auto"/>
        <w:bottom w:val="none" w:sz="0" w:space="0" w:color="auto"/>
        <w:right w:val="none" w:sz="0" w:space="0" w:color="auto"/>
      </w:divBdr>
    </w:div>
    <w:div w:id="940839747">
      <w:bodyDiv w:val="1"/>
      <w:marLeft w:val="0"/>
      <w:marRight w:val="0"/>
      <w:marTop w:val="0"/>
      <w:marBottom w:val="0"/>
      <w:divBdr>
        <w:top w:val="none" w:sz="0" w:space="0" w:color="auto"/>
        <w:left w:val="none" w:sz="0" w:space="0" w:color="auto"/>
        <w:bottom w:val="none" w:sz="0" w:space="0" w:color="auto"/>
        <w:right w:val="none" w:sz="0" w:space="0" w:color="auto"/>
      </w:divBdr>
    </w:div>
    <w:div w:id="1022974966">
      <w:bodyDiv w:val="1"/>
      <w:marLeft w:val="0"/>
      <w:marRight w:val="0"/>
      <w:marTop w:val="0"/>
      <w:marBottom w:val="0"/>
      <w:divBdr>
        <w:top w:val="none" w:sz="0" w:space="0" w:color="auto"/>
        <w:left w:val="none" w:sz="0" w:space="0" w:color="auto"/>
        <w:bottom w:val="none" w:sz="0" w:space="0" w:color="auto"/>
        <w:right w:val="none" w:sz="0" w:space="0" w:color="auto"/>
      </w:divBdr>
    </w:div>
    <w:div w:id="1033069579">
      <w:bodyDiv w:val="1"/>
      <w:marLeft w:val="0"/>
      <w:marRight w:val="0"/>
      <w:marTop w:val="0"/>
      <w:marBottom w:val="0"/>
      <w:divBdr>
        <w:top w:val="none" w:sz="0" w:space="0" w:color="auto"/>
        <w:left w:val="none" w:sz="0" w:space="0" w:color="auto"/>
        <w:bottom w:val="none" w:sz="0" w:space="0" w:color="auto"/>
        <w:right w:val="none" w:sz="0" w:space="0" w:color="auto"/>
      </w:divBdr>
    </w:div>
    <w:div w:id="1067260836">
      <w:bodyDiv w:val="1"/>
      <w:marLeft w:val="0"/>
      <w:marRight w:val="0"/>
      <w:marTop w:val="0"/>
      <w:marBottom w:val="0"/>
      <w:divBdr>
        <w:top w:val="none" w:sz="0" w:space="0" w:color="auto"/>
        <w:left w:val="none" w:sz="0" w:space="0" w:color="auto"/>
        <w:bottom w:val="none" w:sz="0" w:space="0" w:color="auto"/>
        <w:right w:val="none" w:sz="0" w:space="0" w:color="auto"/>
      </w:divBdr>
    </w:div>
    <w:div w:id="1073086696">
      <w:bodyDiv w:val="1"/>
      <w:marLeft w:val="0"/>
      <w:marRight w:val="0"/>
      <w:marTop w:val="0"/>
      <w:marBottom w:val="0"/>
      <w:divBdr>
        <w:top w:val="none" w:sz="0" w:space="0" w:color="auto"/>
        <w:left w:val="none" w:sz="0" w:space="0" w:color="auto"/>
        <w:bottom w:val="none" w:sz="0" w:space="0" w:color="auto"/>
        <w:right w:val="none" w:sz="0" w:space="0" w:color="auto"/>
      </w:divBdr>
    </w:div>
    <w:div w:id="1086416338">
      <w:bodyDiv w:val="1"/>
      <w:marLeft w:val="0"/>
      <w:marRight w:val="0"/>
      <w:marTop w:val="0"/>
      <w:marBottom w:val="0"/>
      <w:divBdr>
        <w:top w:val="none" w:sz="0" w:space="0" w:color="auto"/>
        <w:left w:val="none" w:sz="0" w:space="0" w:color="auto"/>
        <w:bottom w:val="none" w:sz="0" w:space="0" w:color="auto"/>
        <w:right w:val="none" w:sz="0" w:space="0" w:color="auto"/>
      </w:divBdr>
    </w:div>
    <w:div w:id="1124351643">
      <w:bodyDiv w:val="1"/>
      <w:marLeft w:val="0"/>
      <w:marRight w:val="0"/>
      <w:marTop w:val="0"/>
      <w:marBottom w:val="0"/>
      <w:divBdr>
        <w:top w:val="none" w:sz="0" w:space="0" w:color="auto"/>
        <w:left w:val="none" w:sz="0" w:space="0" w:color="auto"/>
        <w:bottom w:val="none" w:sz="0" w:space="0" w:color="auto"/>
        <w:right w:val="none" w:sz="0" w:space="0" w:color="auto"/>
      </w:divBdr>
    </w:div>
    <w:div w:id="1127163458">
      <w:bodyDiv w:val="1"/>
      <w:marLeft w:val="0"/>
      <w:marRight w:val="0"/>
      <w:marTop w:val="0"/>
      <w:marBottom w:val="0"/>
      <w:divBdr>
        <w:top w:val="none" w:sz="0" w:space="0" w:color="auto"/>
        <w:left w:val="none" w:sz="0" w:space="0" w:color="auto"/>
        <w:bottom w:val="none" w:sz="0" w:space="0" w:color="auto"/>
        <w:right w:val="none" w:sz="0" w:space="0" w:color="auto"/>
      </w:divBdr>
    </w:div>
    <w:div w:id="1145010297">
      <w:bodyDiv w:val="1"/>
      <w:marLeft w:val="0"/>
      <w:marRight w:val="0"/>
      <w:marTop w:val="0"/>
      <w:marBottom w:val="0"/>
      <w:divBdr>
        <w:top w:val="none" w:sz="0" w:space="0" w:color="auto"/>
        <w:left w:val="none" w:sz="0" w:space="0" w:color="auto"/>
        <w:bottom w:val="none" w:sz="0" w:space="0" w:color="auto"/>
        <w:right w:val="none" w:sz="0" w:space="0" w:color="auto"/>
      </w:divBdr>
    </w:div>
    <w:div w:id="1145510495">
      <w:bodyDiv w:val="1"/>
      <w:marLeft w:val="0"/>
      <w:marRight w:val="0"/>
      <w:marTop w:val="0"/>
      <w:marBottom w:val="0"/>
      <w:divBdr>
        <w:top w:val="none" w:sz="0" w:space="0" w:color="auto"/>
        <w:left w:val="none" w:sz="0" w:space="0" w:color="auto"/>
        <w:bottom w:val="none" w:sz="0" w:space="0" w:color="auto"/>
        <w:right w:val="none" w:sz="0" w:space="0" w:color="auto"/>
      </w:divBdr>
    </w:div>
    <w:div w:id="1172182903">
      <w:bodyDiv w:val="1"/>
      <w:marLeft w:val="0"/>
      <w:marRight w:val="0"/>
      <w:marTop w:val="0"/>
      <w:marBottom w:val="0"/>
      <w:divBdr>
        <w:top w:val="none" w:sz="0" w:space="0" w:color="auto"/>
        <w:left w:val="none" w:sz="0" w:space="0" w:color="auto"/>
        <w:bottom w:val="none" w:sz="0" w:space="0" w:color="auto"/>
        <w:right w:val="none" w:sz="0" w:space="0" w:color="auto"/>
      </w:divBdr>
    </w:div>
    <w:div w:id="1190487669">
      <w:bodyDiv w:val="1"/>
      <w:marLeft w:val="0"/>
      <w:marRight w:val="0"/>
      <w:marTop w:val="0"/>
      <w:marBottom w:val="0"/>
      <w:divBdr>
        <w:top w:val="none" w:sz="0" w:space="0" w:color="auto"/>
        <w:left w:val="none" w:sz="0" w:space="0" w:color="auto"/>
        <w:bottom w:val="none" w:sz="0" w:space="0" w:color="auto"/>
        <w:right w:val="none" w:sz="0" w:space="0" w:color="auto"/>
      </w:divBdr>
    </w:div>
    <w:div w:id="1203589342">
      <w:bodyDiv w:val="1"/>
      <w:marLeft w:val="0"/>
      <w:marRight w:val="0"/>
      <w:marTop w:val="0"/>
      <w:marBottom w:val="0"/>
      <w:divBdr>
        <w:top w:val="none" w:sz="0" w:space="0" w:color="auto"/>
        <w:left w:val="none" w:sz="0" w:space="0" w:color="auto"/>
        <w:bottom w:val="none" w:sz="0" w:space="0" w:color="auto"/>
        <w:right w:val="none" w:sz="0" w:space="0" w:color="auto"/>
      </w:divBdr>
      <w:divsChild>
        <w:div w:id="194739171">
          <w:marLeft w:val="360"/>
          <w:marRight w:val="0"/>
          <w:marTop w:val="200"/>
          <w:marBottom w:val="0"/>
          <w:divBdr>
            <w:top w:val="none" w:sz="0" w:space="0" w:color="auto"/>
            <w:left w:val="none" w:sz="0" w:space="0" w:color="auto"/>
            <w:bottom w:val="none" w:sz="0" w:space="0" w:color="auto"/>
            <w:right w:val="none" w:sz="0" w:space="0" w:color="auto"/>
          </w:divBdr>
        </w:div>
        <w:div w:id="49573399">
          <w:marLeft w:val="360"/>
          <w:marRight w:val="0"/>
          <w:marTop w:val="200"/>
          <w:marBottom w:val="0"/>
          <w:divBdr>
            <w:top w:val="none" w:sz="0" w:space="0" w:color="auto"/>
            <w:left w:val="none" w:sz="0" w:space="0" w:color="auto"/>
            <w:bottom w:val="none" w:sz="0" w:space="0" w:color="auto"/>
            <w:right w:val="none" w:sz="0" w:space="0" w:color="auto"/>
          </w:divBdr>
        </w:div>
        <w:div w:id="1651252491">
          <w:marLeft w:val="360"/>
          <w:marRight w:val="0"/>
          <w:marTop w:val="200"/>
          <w:marBottom w:val="0"/>
          <w:divBdr>
            <w:top w:val="none" w:sz="0" w:space="0" w:color="auto"/>
            <w:left w:val="none" w:sz="0" w:space="0" w:color="auto"/>
            <w:bottom w:val="none" w:sz="0" w:space="0" w:color="auto"/>
            <w:right w:val="none" w:sz="0" w:space="0" w:color="auto"/>
          </w:divBdr>
        </w:div>
      </w:divsChild>
    </w:div>
    <w:div w:id="1231309467">
      <w:bodyDiv w:val="1"/>
      <w:marLeft w:val="0"/>
      <w:marRight w:val="0"/>
      <w:marTop w:val="0"/>
      <w:marBottom w:val="0"/>
      <w:divBdr>
        <w:top w:val="none" w:sz="0" w:space="0" w:color="auto"/>
        <w:left w:val="none" w:sz="0" w:space="0" w:color="auto"/>
        <w:bottom w:val="none" w:sz="0" w:space="0" w:color="auto"/>
        <w:right w:val="none" w:sz="0" w:space="0" w:color="auto"/>
      </w:divBdr>
    </w:div>
    <w:div w:id="1260019309">
      <w:bodyDiv w:val="1"/>
      <w:marLeft w:val="0"/>
      <w:marRight w:val="0"/>
      <w:marTop w:val="0"/>
      <w:marBottom w:val="0"/>
      <w:divBdr>
        <w:top w:val="none" w:sz="0" w:space="0" w:color="auto"/>
        <w:left w:val="none" w:sz="0" w:space="0" w:color="auto"/>
        <w:bottom w:val="none" w:sz="0" w:space="0" w:color="auto"/>
        <w:right w:val="none" w:sz="0" w:space="0" w:color="auto"/>
      </w:divBdr>
    </w:div>
    <w:div w:id="1294752558">
      <w:bodyDiv w:val="1"/>
      <w:marLeft w:val="0"/>
      <w:marRight w:val="0"/>
      <w:marTop w:val="0"/>
      <w:marBottom w:val="0"/>
      <w:divBdr>
        <w:top w:val="none" w:sz="0" w:space="0" w:color="auto"/>
        <w:left w:val="none" w:sz="0" w:space="0" w:color="auto"/>
        <w:bottom w:val="none" w:sz="0" w:space="0" w:color="auto"/>
        <w:right w:val="none" w:sz="0" w:space="0" w:color="auto"/>
      </w:divBdr>
    </w:div>
    <w:div w:id="1313486400">
      <w:bodyDiv w:val="1"/>
      <w:marLeft w:val="0"/>
      <w:marRight w:val="0"/>
      <w:marTop w:val="0"/>
      <w:marBottom w:val="0"/>
      <w:divBdr>
        <w:top w:val="none" w:sz="0" w:space="0" w:color="auto"/>
        <w:left w:val="none" w:sz="0" w:space="0" w:color="auto"/>
        <w:bottom w:val="none" w:sz="0" w:space="0" w:color="auto"/>
        <w:right w:val="none" w:sz="0" w:space="0" w:color="auto"/>
      </w:divBdr>
    </w:div>
    <w:div w:id="1343119357">
      <w:bodyDiv w:val="1"/>
      <w:marLeft w:val="0"/>
      <w:marRight w:val="0"/>
      <w:marTop w:val="0"/>
      <w:marBottom w:val="0"/>
      <w:divBdr>
        <w:top w:val="none" w:sz="0" w:space="0" w:color="auto"/>
        <w:left w:val="none" w:sz="0" w:space="0" w:color="auto"/>
        <w:bottom w:val="none" w:sz="0" w:space="0" w:color="auto"/>
        <w:right w:val="none" w:sz="0" w:space="0" w:color="auto"/>
      </w:divBdr>
    </w:div>
    <w:div w:id="1386565903">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4455199">
      <w:bodyDiv w:val="1"/>
      <w:marLeft w:val="0"/>
      <w:marRight w:val="0"/>
      <w:marTop w:val="0"/>
      <w:marBottom w:val="0"/>
      <w:divBdr>
        <w:top w:val="none" w:sz="0" w:space="0" w:color="auto"/>
        <w:left w:val="none" w:sz="0" w:space="0" w:color="auto"/>
        <w:bottom w:val="none" w:sz="0" w:space="0" w:color="auto"/>
        <w:right w:val="none" w:sz="0" w:space="0" w:color="auto"/>
      </w:divBdr>
    </w:div>
    <w:div w:id="1446190135">
      <w:bodyDiv w:val="1"/>
      <w:marLeft w:val="0"/>
      <w:marRight w:val="0"/>
      <w:marTop w:val="0"/>
      <w:marBottom w:val="0"/>
      <w:divBdr>
        <w:top w:val="none" w:sz="0" w:space="0" w:color="auto"/>
        <w:left w:val="none" w:sz="0" w:space="0" w:color="auto"/>
        <w:bottom w:val="none" w:sz="0" w:space="0" w:color="auto"/>
        <w:right w:val="none" w:sz="0" w:space="0" w:color="auto"/>
      </w:divBdr>
    </w:div>
    <w:div w:id="1460807295">
      <w:bodyDiv w:val="1"/>
      <w:marLeft w:val="0"/>
      <w:marRight w:val="0"/>
      <w:marTop w:val="0"/>
      <w:marBottom w:val="0"/>
      <w:divBdr>
        <w:top w:val="none" w:sz="0" w:space="0" w:color="auto"/>
        <w:left w:val="none" w:sz="0" w:space="0" w:color="auto"/>
        <w:bottom w:val="none" w:sz="0" w:space="0" w:color="auto"/>
        <w:right w:val="none" w:sz="0" w:space="0" w:color="auto"/>
      </w:divBdr>
    </w:div>
    <w:div w:id="1460880896">
      <w:bodyDiv w:val="1"/>
      <w:marLeft w:val="0"/>
      <w:marRight w:val="0"/>
      <w:marTop w:val="0"/>
      <w:marBottom w:val="0"/>
      <w:divBdr>
        <w:top w:val="none" w:sz="0" w:space="0" w:color="auto"/>
        <w:left w:val="none" w:sz="0" w:space="0" w:color="auto"/>
        <w:bottom w:val="none" w:sz="0" w:space="0" w:color="auto"/>
        <w:right w:val="none" w:sz="0" w:space="0" w:color="auto"/>
      </w:divBdr>
      <w:divsChild>
        <w:div w:id="1334265460">
          <w:marLeft w:val="360"/>
          <w:marRight w:val="0"/>
          <w:marTop w:val="200"/>
          <w:marBottom w:val="0"/>
          <w:divBdr>
            <w:top w:val="none" w:sz="0" w:space="0" w:color="auto"/>
            <w:left w:val="none" w:sz="0" w:space="0" w:color="auto"/>
            <w:bottom w:val="none" w:sz="0" w:space="0" w:color="auto"/>
            <w:right w:val="none" w:sz="0" w:space="0" w:color="auto"/>
          </w:divBdr>
        </w:div>
        <w:div w:id="1847865858">
          <w:marLeft w:val="360"/>
          <w:marRight w:val="0"/>
          <w:marTop w:val="200"/>
          <w:marBottom w:val="0"/>
          <w:divBdr>
            <w:top w:val="none" w:sz="0" w:space="0" w:color="auto"/>
            <w:left w:val="none" w:sz="0" w:space="0" w:color="auto"/>
            <w:bottom w:val="none" w:sz="0" w:space="0" w:color="auto"/>
            <w:right w:val="none" w:sz="0" w:space="0" w:color="auto"/>
          </w:divBdr>
        </w:div>
        <w:div w:id="481964041">
          <w:marLeft w:val="360"/>
          <w:marRight w:val="0"/>
          <w:marTop w:val="200"/>
          <w:marBottom w:val="0"/>
          <w:divBdr>
            <w:top w:val="none" w:sz="0" w:space="0" w:color="auto"/>
            <w:left w:val="none" w:sz="0" w:space="0" w:color="auto"/>
            <w:bottom w:val="none" w:sz="0" w:space="0" w:color="auto"/>
            <w:right w:val="none" w:sz="0" w:space="0" w:color="auto"/>
          </w:divBdr>
        </w:div>
      </w:divsChild>
    </w:div>
    <w:div w:id="1503740945">
      <w:bodyDiv w:val="1"/>
      <w:marLeft w:val="0"/>
      <w:marRight w:val="0"/>
      <w:marTop w:val="0"/>
      <w:marBottom w:val="0"/>
      <w:divBdr>
        <w:top w:val="none" w:sz="0" w:space="0" w:color="auto"/>
        <w:left w:val="none" w:sz="0" w:space="0" w:color="auto"/>
        <w:bottom w:val="none" w:sz="0" w:space="0" w:color="auto"/>
        <w:right w:val="none" w:sz="0" w:space="0" w:color="auto"/>
      </w:divBdr>
    </w:div>
    <w:div w:id="1512069415">
      <w:bodyDiv w:val="1"/>
      <w:marLeft w:val="0"/>
      <w:marRight w:val="0"/>
      <w:marTop w:val="0"/>
      <w:marBottom w:val="0"/>
      <w:divBdr>
        <w:top w:val="none" w:sz="0" w:space="0" w:color="auto"/>
        <w:left w:val="none" w:sz="0" w:space="0" w:color="auto"/>
        <w:bottom w:val="none" w:sz="0" w:space="0" w:color="auto"/>
        <w:right w:val="none" w:sz="0" w:space="0" w:color="auto"/>
      </w:divBdr>
    </w:div>
    <w:div w:id="1514224333">
      <w:bodyDiv w:val="1"/>
      <w:marLeft w:val="0"/>
      <w:marRight w:val="0"/>
      <w:marTop w:val="0"/>
      <w:marBottom w:val="0"/>
      <w:divBdr>
        <w:top w:val="none" w:sz="0" w:space="0" w:color="auto"/>
        <w:left w:val="none" w:sz="0" w:space="0" w:color="auto"/>
        <w:bottom w:val="none" w:sz="0" w:space="0" w:color="auto"/>
        <w:right w:val="none" w:sz="0" w:space="0" w:color="auto"/>
      </w:divBdr>
    </w:div>
    <w:div w:id="1533227945">
      <w:bodyDiv w:val="1"/>
      <w:marLeft w:val="0"/>
      <w:marRight w:val="0"/>
      <w:marTop w:val="0"/>
      <w:marBottom w:val="0"/>
      <w:divBdr>
        <w:top w:val="none" w:sz="0" w:space="0" w:color="auto"/>
        <w:left w:val="none" w:sz="0" w:space="0" w:color="auto"/>
        <w:bottom w:val="none" w:sz="0" w:space="0" w:color="auto"/>
        <w:right w:val="none" w:sz="0" w:space="0" w:color="auto"/>
      </w:divBdr>
    </w:div>
    <w:div w:id="1554077580">
      <w:bodyDiv w:val="1"/>
      <w:marLeft w:val="0"/>
      <w:marRight w:val="0"/>
      <w:marTop w:val="0"/>
      <w:marBottom w:val="0"/>
      <w:divBdr>
        <w:top w:val="none" w:sz="0" w:space="0" w:color="auto"/>
        <w:left w:val="none" w:sz="0" w:space="0" w:color="auto"/>
        <w:bottom w:val="none" w:sz="0" w:space="0" w:color="auto"/>
        <w:right w:val="none" w:sz="0" w:space="0" w:color="auto"/>
      </w:divBdr>
    </w:div>
    <w:div w:id="1554997888">
      <w:bodyDiv w:val="1"/>
      <w:marLeft w:val="0"/>
      <w:marRight w:val="0"/>
      <w:marTop w:val="0"/>
      <w:marBottom w:val="0"/>
      <w:divBdr>
        <w:top w:val="none" w:sz="0" w:space="0" w:color="auto"/>
        <w:left w:val="none" w:sz="0" w:space="0" w:color="auto"/>
        <w:bottom w:val="none" w:sz="0" w:space="0" w:color="auto"/>
        <w:right w:val="none" w:sz="0" w:space="0" w:color="auto"/>
      </w:divBdr>
    </w:div>
    <w:div w:id="1576159593">
      <w:bodyDiv w:val="1"/>
      <w:marLeft w:val="0"/>
      <w:marRight w:val="0"/>
      <w:marTop w:val="0"/>
      <w:marBottom w:val="0"/>
      <w:divBdr>
        <w:top w:val="none" w:sz="0" w:space="0" w:color="auto"/>
        <w:left w:val="none" w:sz="0" w:space="0" w:color="auto"/>
        <w:bottom w:val="none" w:sz="0" w:space="0" w:color="auto"/>
        <w:right w:val="none" w:sz="0" w:space="0" w:color="auto"/>
      </w:divBdr>
    </w:div>
    <w:div w:id="1583562683">
      <w:bodyDiv w:val="1"/>
      <w:marLeft w:val="0"/>
      <w:marRight w:val="0"/>
      <w:marTop w:val="0"/>
      <w:marBottom w:val="0"/>
      <w:divBdr>
        <w:top w:val="none" w:sz="0" w:space="0" w:color="auto"/>
        <w:left w:val="none" w:sz="0" w:space="0" w:color="auto"/>
        <w:bottom w:val="none" w:sz="0" w:space="0" w:color="auto"/>
        <w:right w:val="none" w:sz="0" w:space="0" w:color="auto"/>
      </w:divBdr>
    </w:div>
    <w:div w:id="1629898113">
      <w:bodyDiv w:val="1"/>
      <w:marLeft w:val="0"/>
      <w:marRight w:val="0"/>
      <w:marTop w:val="0"/>
      <w:marBottom w:val="0"/>
      <w:divBdr>
        <w:top w:val="none" w:sz="0" w:space="0" w:color="auto"/>
        <w:left w:val="none" w:sz="0" w:space="0" w:color="auto"/>
        <w:bottom w:val="none" w:sz="0" w:space="0" w:color="auto"/>
        <w:right w:val="none" w:sz="0" w:space="0" w:color="auto"/>
      </w:divBdr>
    </w:div>
    <w:div w:id="1672874011">
      <w:bodyDiv w:val="1"/>
      <w:marLeft w:val="0"/>
      <w:marRight w:val="0"/>
      <w:marTop w:val="0"/>
      <w:marBottom w:val="0"/>
      <w:divBdr>
        <w:top w:val="none" w:sz="0" w:space="0" w:color="auto"/>
        <w:left w:val="none" w:sz="0" w:space="0" w:color="auto"/>
        <w:bottom w:val="none" w:sz="0" w:space="0" w:color="auto"/>
        <w:right w:val="none" w:sz="0" w:space="0" w:color="auto"/>
      </w:divBdr>
    </w:div>
    <w:div w:id="1677491421">
      <w:bodyDiv w:val="1"/>
      <w:marLeft w:val="0"/>
      <w:marRight w:val="0"/>
      <w:marTop w:val="0"/>
      <w:marBottom w:val="0"/>
      <w:divBdr>
        <w:top w:val="none" w:sz="0" w:space="0" w:color="auto"/>
        <w:left w:val="none" w:sz="0" w:space="0" w:color="auto"/>
        <w:bottom w:val="none" w:sz="0" w:space="0" w:color="auto"/>
        <w:right w:val="none" w:sz="0" w:space="0" w:color="auto"/>
      </w:divBdr>
      <w:divsChild>
        <w:div w:id="1171916108">
          <w:marLeft w:val="446"/>
          <w:marRight w:val="0"/>
          <w:marTop w:val="0"/>
          <w:marBottom w:val="0"/>
          <w:divBdr>
            <w:top w:val="none" w:sz="0" w:space="0" w:color="auto"/>
            <w:left w:val="none" w:sz="0" w:space="0" w:color="auto"/>
            <w:bottom w:val="none" w:sz="0" w:space="0" w:color="auto"/>
            <w:right w:val="none" w:sz="0" w:space="0" w:color="auto"/>
          </w:divBdr>
        </w:div>
        <w:div w:id="69544662">
          <w:marLeft w:val="446"/>
          <w:marRight w:val="0"/>
          <w:marTop w:val="0"/>
          <w:marBottom w:val="0"/>
          <w:divBdr>
            <w:top w:val="none" w:sz="0" w:space="0" w:color="auto"/>
            <w:left w:val="none" w:sz="0" w:space="0" w:color="auto"/>
            <w:bottom w:val="none" w:sz="0" w:space="0" w:color="auto"/>
            <w:right w:val="none" w:sz="0" w:space="0" w:color="auto"/>
          </w:divBdr>
        </w:div>
        <w:div w:id="498080899">
          <w:marLeft w:val="446"/>
          <w:marRight w:val="0"/>
          <w:marTop w:val="0"/>
          <w:marBottom w:val="0"/>
          <w:divBdr>
            <w:top w:val="none" w:sz="0" w:space="0" w:color="auto"/>
            <w:left w:val="none" w:sz="0" w:space="0" w:color="auto"/>
            <w:bottom w:val="none" w:sz="0" w:space="0" w:color="auto"/>
            <w:right w:val="none" w:sz="0" w:space="0" w:color="auto"/>
          </w:divBdr>
        </w:div>
      </w:divsChild>
    </w:div>
    <w:div w:id="1692801259">
      <w:bodyDiv w:val="1"/>
      <w:marLeft w:val="0"/>
      <w:marRight w:val="0"/>
      <w:marTop w:val="0"/>
      <w:marBottom w:val="0"/>
      <w:divBdr>
        <w:top w:val="none" w:sz="0" w:space="0" w:color="auto"/>
        <w:left w:val="none" w:sz="0" w:space="0" w:color="auto"/>
        <w:bottom w:val="none" w:sz="0" w:space="0" w:color="auto"/>
        <w:right w:val="none" w:sz="0" w:space="0" w:color="auto"/>
      </w:divBdr>
    </w:div>
    <w:div w:id="1713312176">
      <w:bodyDiv w:val="1"/>
      <w:marLeft w:val="0"/>
      <w:marRight w:val="0"/>
      <w:marTop w:val="0"/>
      <w:marBottom w:val="0"/>
      <w:divBdr>
        <w:top w:val="none" w:sz="0" w:space="0" w:color="auto"/>
        <w:left w:val="none" w:sz="0" w:space="0" w:color="auto"/>
        <w:bottom w:val="none" w:sz="0" w:space="0" w:color="auto"/>
        <w:right w:val="none" w:sz="0" w:space="0" w:color="auto"/>
      </w:divBdr>
    </w:div>
    <w:div w:id="1733653995">
      <w:bodyDiv w:val="1"/>
      <w:marLeft w:val="0"/>
      <w:marRight w:val="0"/>
      <w:marTop w:val="0"/>
      <w:marBottom w:val="0"/>
      <w:divBdr>
        <w:top w:val="none" w:sz="0" w:space="0" w:color="auto"/>
        <w:left w:val="none" w:sz="0" w:space="0" w:color="auto"/>
        <w:bottom w:val="none" w:sz="0" w:space="0" w:color="auto"/>
        <w:right w:val="none" w:sz="0" w:space="0" w:color="auto"/>
      </w:divBdr>
    </w:div>
    <w:div w:id="1805730470">
      <w:bodyDiv w:val="1"/>
      <w:marLeft w:val="0"/>
      <w:marRight w:val="0"/>
      <w:marTop w:val="0"/>
      <w:marBottom w:val="0"/>
      <w:divBdr>
        <w:top w:val="none" w:sz="0" w:space="0" w:color="auto"/>
        <w:left w:val="none" w:sz="0" w:space="0" w:color="auto"/>
        <w:bottom w:val="none" w:sz="0" w:space="0" w:color="auto"/>
        <w:right w:val="none" w:sz="0" w:space="0" w:color="auto"/>
      </w:divBdr>
    </w:div>
    <w:div w:id="1843467099">
      <w:bodyDiv w:val="1"/>
      <w:marLeft w:val="0"/>
      <w:marRight w:val="0"/>
      <w:marTop w:val="0"/>
      <w:marBottom w:val="0"/>
      <w:divBdr>
        <w:top w:val="none" w:sz="0" w:space="0" w:color="auto"/>
        <w:left w:val="none" w:sz="0" w:space="0" w:color="auto"/>
        <w:bottom w:val="none" w:sz="0" w:space="0" w:color="auto"/>
        <w:right w:val="none" w:sz="0" w:space="0" w:color="auto"/>
      </w:divBdr>
    </w:div>
    <w:div w:id="1845046639">
      <w:bodyDiv w:val="1"/>
      <w:marLeft w:val="0"/>
      <w:marRight w:val="0"/>
      <w:marTop w:val="0"/>
      <w:marBottom w:val="0"/>
      <w:divBdr>
        <w:top w:val="none" w:sz="0" w:space="0" w:color="auto"/>
        <w:left w:val="none" w:sz="0" w:space="0" w:color="auto"/>
        <w:bottom w:val="none" w:sz="0" w:space="0" w:color="auto"/>
        <w:right w:val="none" w:sz="0" w:space="0" w:color="auto"/>
      </w:divBdr>
    </w:div>
    <w:div w:id="1859078968">
      <w:bodyDiv w:val="1"/>
      <w:marLeft w:val="0"/>
      <w:marRight w:val="0"/>
      <w:marTop w:val="0"/>
      <w:marBottom w:val="0"/>
      <w:divBdr>
        <w:top w:val="none" w:sz="0" w:space="0" w:color="auto"/>
        <w:left w:val="none" w:sz="0" w:space="0" w:color="auto"/>
        <w:bottom w:val="none" w:sz="0" w:space="0" w:color="auto"/>
        <w:right w:val="none" w:sz="0" w:space="0" w:color="auto"/>
      </w:divBdr>
    </w:div>
    <w:div w:id="1870873997">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
    <w:div w:id="1926843670">
      <w:bodyDiv w:val="1"/>
      <w:marLeft w:val="0"/>
      <w:marRight w:val="0"/>
      <w:marTop w:val="0"/>
      <w:marBottom w:val="0"/>
      <w:divBdr>
        <w:top w:val="none" w:sz="0" w:space="0" w:color="auto"/>
        <w:left w:val="none" w:sz="0" w:space="0" w:color="auto"/>
        <w:bottom w:val="none" w:sz="0" w:space="0" w:color="auto"/>
        <w:right w:val="none" w:sz="0" w:space="0" w:color="auto"/>
      </w:divBdr>
    </w:div>
    <w:div w:id="1929149334">
      <w:bodyDiv w:val="1"/>
      <w:marLeft w:val="0"/>
      <w:marRight w:val="0"/>
      <w:marTop w:val="0"/>
      <w:marBottom w:val="0"/>
      <w:divBdr>
        <w:top w:val="none" w:sz="0" w:space="0" w:color="auto"/>
        <w:left w:val="none" w:sz="0" w:space="0" w:color="auto"/>
        <w:bottom w:val="none" w:sz="0" w:space="0" w:color="auto"/>
        <w:right w:val="none" w:sz="0" w:space="0" w:color="auto"/>
      </w:divBdr>
    </w:div>
    <w:div w:id="2026981238">
      <w:bodyDiv w:val="1"/>
      <w:marLeft w:val="0"/>
      <w:marRight w:val="0"/>
      <w:marTop w:val="0"/>
      <w:marBottom w:val="0"/>
      <w:divBdr>
        <w:top w:val="none" w:sz="0" w:space="0" w:color="auto"/>
        <w:left w:val="none" w:sz="0" w:space="0" w:color="auto"/>
        <w:bottom w:val="none" w:sz="0" w:space="0" w:color="auto"/>
        <w:right w:val="none" w:sz="0" w:space="0" w:color="auto"/>
      </w:divBdr>
    </w:div>
    <w:div w:id="2040810012">
      <w:bodyDiv w:val="1"/>
      <w:marLeft w:val="0"/>
      <w:marRight w:val="0"/>
      <w:marTop w:val="0"/>
      <w:marBottom w:val="0"/>
      <w:divBdr>
        <w:top w:val="none" w:sz="0" w:space="0" w:color="auto"/>
        <w:left w:val="none" w:sz="0" w:space="0" w:color="auto"/>
        <w:bottom w:val="none" w:sz="0" w:space="0" w:color="auto"/>
        <w:right w:val="none" w:sz="0" w:space="0" w:color="auto"/>
      </w:divBdr>
    </w:div>
    <w:div w:id="2044095210">
      <w:bodyDiv w:val="1"/>
      <w:marLeft w:val="0"/>
      <w:marRight w:val="0"/>
      <w:marTop w:val="0"/>
      <w:marBottom w:val="0"/>
      <w:divBdr>
        <w:top w:val="none" w:sz="0" w:space="0" w:color="auto"/>
        <w:left w:val="none" w:sz="0" w:space="0" w:color="auto"/>
        <w:bottom w:val="none" w:sz="0" w:space="0" w:color="auto"/>
        <w:right w:val="none" w:sz="0" w:space="0" w:color="auto"/>
      </w:divBdr>
    </w:div>
    <w:div w:id="2048216761">
      <w:bodyDiv w:val="1"/>
      <w:marLeft w:val="0"/>
      <w:marRight w:val="0"/>
      <w:marTop w:val="0"/>
      <w:marBottom w:val="0"/>
      <w:divBdr>
        <w:top w:val="none" w:sz="0" w:space="0" w:color="auto"/>
        <w:left w:val="none" w:sz="0" w:space="0" w:color="auto"/>
        <w:bottom w:val="none" w:sz="0" w:space="0" w:color="auto"/>
        <w:right w:val="none" w:sz="0" w:space="0" w:color="auto"/>
      </w:divBdr>
    </w:div>
    <w:div w:id="2063870459">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109810315">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47">
          <w:marLeft w:val="0"/>
          <w:marRight w:val="0"/>
          <w:marTop w:val="120"/>
          <w:marBottom w:val="0"/>
          <w:divBdr>
            <w:top w:val="none" w:sz="0" w:space="0" w:color="auto"/>
            <w:left w:val="none" w:sz="0" w:space="0" w:color="auto"/>
            <w:bottom w:val="none" w:sz="0" w:space="0" w:color="auto"/>
            <w:right w:val="none" w:sz="0" w:space="0" w:color="auto"/>
          </w:divBdr>
          <w:divsChild>
            <w:div w:id="1144003011">
              <w:marLeft w:val="120"/>
              <w:marRight w:val="0"/>
              <w:marTop w:val="0"/>
              <w:marBottom w:val="0"/>
              <w:divBdr>
                <w:top w:val="none" w:sz="0" w:space="0" w:color="auto"/>
                <w:left w:val="none" w:sz="0" w:space="0" w:color="auto"/>
                <w:bottom w:val="none" w:sz="0" w:space="0" w:color="auto"/>
                <w:right w:val="none" w:sz="0" w:space="0" w:color="auto"/>
              </w:divBdr>
              <w:divsChild>
                <w:div w:id="1977637289">
                  <w:marLeft w:val="0"/>
                  <w:marRight w:val="0"/>
                  <w:marTop w:val="195"/>
                  <w:marBottom w:val="0"/>
                  <w:divBdr>
                    <w:top w:val="single" w:sz="6" w:space="0" w:color="000000"/>
                    <w:left w:val="none" w:sz="0" w:space="0" w:color="auto"/>
                    <w:bottom w:val="none" w:sz="0" w:space="0" w:color="auto"/>
                    <w:right w:val="none" w:sz="0" w:space="0" w:color="auto"/>
                  </w:divBdr>
                  <w:divsChild>
                    <w:div w:id="2033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nkaslovenije.blob.core.windows.net/publication-files/mesecna_informacija_avgust_22.pdf" TargetMode="Externa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http://www.zbs-giz.si" TargetMode="External"/><Relationship Id="rId1" Type="http://schemas.openxmlformats.org/officeDocument/2006/relationships/hyperlink" Target="mailto:aleksandra.zibrat@zbs-gi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0974E6-7F80-43E1-9DA9-C19A7EE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6327</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Zibrat</dc:creator>
  <cp:keywords/>
  <dc:description/>
  <cp:lastModifiedBy>Aleksandra Zibrat</cp:lastModifiedBy>
  <cp:revision>8</cp:revision>
  <dcterms:created xsi:type="dcterms:W3CDTF">2022-09-07T12:43:00Z</dcterms:created>
  <dcterms:modified xsi:type="dcterms:W3CDTF">2022-09-07T12:44:00Z</dcterms:modified>
</cp:coreProperties>
</file>