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586728" w:rsidRDefault="000A04E5" w:rsidP="00672B35">
      <w:pPr>
        <w:pStyle w:val="01oznaka1"/>
        <w:ind w:left="6663" w:right="-329"/>
        <w:jc w:val="both"/>
        <w:rPr>
          <w:rFonts w:ascii="Tahoma" w:hAnsi="Tahoma" w:cs="Tahoma"/>
          <w:b/>
          <w:szCs w:val="22"/>
          <w:lang w:val="sl-SI"/>
        </w:rPr>
      </w:pPr>
      <w:r w:rsidRPr="00586728">
        <w:rPr>
          <w:rFonts w:ascii="Tahoma" w:hAnsi="Tahoma" w:cs="Tahoma"/>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728">
        <w:rPr>
          <w:rFonts w:ascii="Tahoma" w:hAnsi="Tahoma" w:cs="Tahoma"/>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586728" w:rsidRDefault="00AC7D45" w:rsidP="00672B35">
      <w:pPr>
        <w:jc w:val="both"/>
        <w:rPr>
          <w:rFonts w:ascii="Tahoma" w:hAnsi="Tahoma" w:cs="Tahoma"/>
          <w:lang w:eastAsia="en-US"/>
        </w:rPr>
      </w:pPr>
    </w:p>
    <w:p w14:paraId="0EC23656" w14:textId="77777777" w:rsidR="00AC7D45" w:rsidRPr="00883114" w:rsidRDefault="00AC7D45" w:rsidP="00672B35">
      <w:pPr>
        <w:jc w:val="both"/>
        <w:rPr>
          <w:rFonts w:ascii="Tahoma" w:hAnsi="Tahoma" w:cs="Tahoma"/>
          <w:lang w:eastAsia="en-US"/>
        </w:rPr>
      </w:pPr>
    </w:p>
    <w:p w14:paraId="05F2E579" w14:textId="7B2FD17E" w:rsidR="00BB0AFE" w:rsidRPr="00020FEC" w:rsidRDefault="00934D36" w:rsidP="003B5715">
      <w:pPr>
        <w:jc w:val="both"/>
        <w:rPr>
          <w:rFonts w:ascii="Tahoma" w:hAnsi="Tahoma" w:cs="Tahoma"/>
          <w:b/>
          <w:bCs/>
          <w:lang w:eastAsia="en-US"/>
        </w:rPr>
      </w:pPr>
      <w:r w:rsidRPr="00020FEC">
        <w:rPr>
          <w:rFonts w:ascii="Tahoma" w:hAnsi="Tahoma" w:cs="Tahoma"/>
          <w:b/>
          <w:bCs/>
        </w:rPr>
        <w:t>Odgovori Združenja bank na novinarska vprašanja ob</w:t>
      </w:r>
      <w:r w:rsidR="00AB3729">
        <w:rPr>
          <w:rFonts w:ascii="Tahoma" w:hAnsi="Tahoma" w:cs="Tahoma"/>
          <w:b/>
          <w:bCs/>
        </w:rPr>
        <w:t xml:space="preserve"> Svetovnem d</w:t>
      </w:r>
      <w:r w:rsidRPr="00020FEC">
        <w:rPr>
          <w:rFonts w:ascii="Tahoma" w:hAnsi="Tahoma" w:cs="Tahoma"/>
          <w:b/>
          <w:bCs/>
        </w:rPr>
        <w:t>nevu varčevanja</w:t>
      </w:r>
    </w:p>
    <w:p w14:paraId="083E7BD2" w14:textId="77777777" w:rsidR="00BB0AFE" w:rsidRPr="00020FEC" w:rsidRDefault="00BB0AFE" w:rsidP="003B5715">
      <w:pPr>
        <w:jc w:val="both"/>
        <w:rPr>
          <w:rFonts w:ascii="Tahoma" w:hAnsi="Tahoma" w:cs="Tahoma"/>
        </w:rPr>
      </w:pPr>
    </w:p>
    <w:p w14:paraId="3BBDFDF9" w14:textId="4656D9CF" w:rsidR="00934D36" w:rsidRPr="00020FEC" w:rsidRDefault="00934D36" w:rsidP="003B5715">
      <w:pPr>
        <w:jc w:val="both"/>
        <w:rPr>
          <w:rFonts w:ascii="Tahoma" w:hAnsi="Tahoma" w:cs="Tahoma"/>
          <w:b/>
          <w:bCs/>
        </w:rPr>
      </w:pPr>
      <w:bookmarkStart w:id="0" w:name="_Hlk112918808"/>
      <w:r w:rsidRPr="00020FEC">
        <w:rPr>
          <w:rFonts w:ascii="Tahoma" w:hAnsi="Tahoma" w:cs="Tahoma"/>
          <w:b/>
          <w:bCs/>
        </w:rPr>
        <w:t xml:space="preserve">Vprašanja: </w:t>
      </w:r>
    </w:p>
    <w:bookmarkEnd w:id="0"/>
    <w:p w14:paraId="4FE3D084" w14:textId="77777777" w:rsidR="00934D36" w:rsidRPr="00020FEC" w:rsidRDefault="00934D36" w:rsidP="00AB3729">
      <w:pPr>
        <w:pStyle w:val="NormalWeb"/>
        <w:spacing w:after="0"/>
        <w:jc w:val="both"/>
        <w:rPr>
          <w:rFonts w:ascii="Tahoma" w:hAnsi="Tahoma" w:cs="Tahoma"/>
          <w:sz w:val="22"/>
          <w:szCs w:val="22"/>
        </w:rPr>
      </w:pPr>
      <w:r w:rsidRPr="00020FEC">
        <w:rPr>
          <w:rFonts w:ascii="Tahoma" w:hAnsi="Tahoma" w:cs="Tahoma"/>
          <w:sz w:val="22"/>
          <w:szCs w:val="22"/>
        </w:rPr>
        <w:t xml:space="preserve">Koliko denarja imamo torej Slovenci v bankah, koliko se je ta znesek povečal (spremenil) od lanskega julija, ko je znašal 23,8 milijarde evrov (če je možno, lahko morda omenimo še gibanje skupnega zneska v zadnjih petih letih)? Ali še vedno velja, da smo Slovenci eden najbolj varčnih narodov v EU in svetu (kolikšen je zadnji podatek o povprečno privarčevanem znesku od 100 evrov)? </w:t>
      </w:r>
    </w:p>
    <w:p w14:paraId="71C33995" w14:textId="77777777" w:rsidR="00934D36" w:rsidRPr="00020FEC" w:rsidRDefault="00934D36" w:rsidP="00AB3729">
      <w:pPr>
        <w:pStyle w:val="NormalWeb"/>
        <w:spacing w:after="0"/>
        <w:jc w:val="both"/>
        <w:rPr>
          <w:rFonts w:ascii="Tahoma" w:hAnsi="Tahoma" w:cs="Tahoma"/>
          <w:sz w:val="22"/>
          <w:szCs w:val="22"/>
        </w:rPr>
      </w:pPr>
      <w:r w:rsidRPr="00020FEC">
        <w:rPr>
          <w:rFonts w:ascii="Tahoma" w:hAnsi="Tahoma" w:cs="Tahoma"/>
          <w:sz w:val="22"/>
          <w:szCs w:val="22"/>
        </w:rPr>
        <w:t>Ali še vedno  sodimo pri tem med bolj konzervativne? Kolikšen je vsaj približen delež vlog na vpogled, koliko depozitov in drugih oblik varčevanja? Kaj so glavni razlogi, da Slovence bolj kot donosnost zanima varnost, kako pomembna je lahko ta lastnost v sedanjih vse bolj negotovih časih?</w:t>
      </w:r>
    </w:p>
    <w:p w14:paraId="1E12E416" w14:textId="6984FCF7" w:rsidR="00F2413C" w:rsidRPr="00020FEC" w:rsidRDefault="00934D36" w:rsidP="00AB3729">
      <w:pPr>
        <w:pStyle w:val="NormalWeb"/>
        <w:shd w:val="clear" w:color="auto" w:fill="FFFFFF"/>
        <w:spacing w:before="0" w:beforeAutospacing="0" w:after="0" w:afterAutospacing="0"/>
        <w:jc w:val="both"/>
        <w:textAlignment w:val="baseline"/>
        <w:rPr>
          <w:rFonts w:ascii="Tahoma" w:hAnsi="Tahoma" w:cs="Tahoma"/>
          <w:color w:val="000000"/>
          <w:sz w:val="22"/>
          <w:szCs w:val="22"/>
        </w:rPr>
      </w:pPr>
      <w:r w:rsidRPr="00020FEC">
        <w:rPr>
          <w:rFonts w:ascii="Tahoma" w:hAnsi="Tahoma" w:cs="Tahoma"/>
          <w:sz w:val="22"/>
          <w:szCs w:val="22"/>
        </w:rPr>
        <w:t>Kako je na varčevanje vplivala epidemija, ki je prinesla tudi številne dodatke, hkrati pa napoved težjih časov? Kako vsaj načeloma  na to vpliva prihajajoča kriza, kako rastoča inflacija, kako rast obrestnih mer, ki inflacije vseeno ne dohiteva? Je zaradi tega morda že na mestu kakšno opozorilo pred iskanjem preveč tveganih naložb? In še: ali obstaja kakšen podatek, kolikšen je delež Slovencev, ki sploh imajo na banki prihranke?</w:t>
      </w:r>
    </w:p>
    <w:p w14:paraId="3CFE6986" w14:textId="77777777" w:rsidR="002F5A29" w:rsidRPr="00020FEC" w:rsidRDefault="002F5A29" w:rsidP="003B5715">
      <w:pPr>
        <w:jc w:val="both"/>
        <w:rPr>
          <w:rFonts w:ascii="Tahoma" w:hAnsi="Tahoma" w:cs="Tahoma"/>
        </w:rPr>
      </w:pPr>
    </w:p>
    <w:p w14:paraId="523AA773" w14:textId="4FCDA73A" w:rsidR="00934D36" w:rsidRPr="00020FEC" w:rsidRDefault="00934D36" w:rsidP="003B5715">
      <w:pPr>
        <w:jc w:val="both"/>
        <w:rPr>
          <w:rFonts w:ascii="Tahoma" w:hAnsi="Tahoma" w:cs="Tahoma"/>
          <w:b/>
          <w:bCs/>
        </w:rPr>
      </w:pPr>
      <w:r w:rsidRPr="00020FEC">
        <w:rPr>
          <w:rFonts w:ascii="Tahoma" w:hAnsi="Tahoma" w:cs="Tahoma"/>
          <w:b/>
          <w:bCs/>
        </w:rPr>
        <w:t>Odgovori Združenja bank</w:t>
      </w:r>
      <w:r w:rsidR="00020FEC" w:rsidRPr="00020FEC">
        <w:rPr>
          <w:rFonts w:ascii="Tahoma" w:hAnsi="Tahoma" w:cs="Tahoma"/>
          <w:b/>
          <w:bCs/>
        </w:rPr>
        <w:t>:</w:t>
      </w:r>
    </w:p>
    <w:p w14:paraId="78DB4A41" w14:textId="759020BE" w:rsidR="00934D36" w:rsidRDefault="00934D36" w:rsidP="003B5715">
      <w:pPr>
        <w:jc w:val="both"/>
        <w:rPr>
          <w:rFonts w:ascii="Tahoma" w:hAnsi="Tahoma" w:cs="Tahoma"/>
        </w:rPr>
      </w:pPr>
    </w:p>
    <w:p w14:paraId="5488F67F" w14:textId="77777777" w:rsidR="00B05435" w:rsidRDefault="00125516" w:rsidP="003B5715">
      <w:pPr>
        <w:jc w:val="both"/>
        <w:rPr>
          <w:rFonts w:ascii="Tahoma" w:eastAsia="Times New Roman" w:hAnsi="Tahoma" w:cs="Tahoma"/>
          <w:lang w:val="sv-SE" w:eastAsia="en-US"/>
        </w:rPr>
      </w:pPr>
      <w:r w:rsidRPr="00125516">
        <w:rPr>
          <w:rFonts w:ascii="Tahoma" w:eastAsia="Times New Roman" w:hAnsi="Tahoma" w:cs="Tahoma"/>
          <w:lang w:val="sv-SE" w:eastAsia="en-US"/>
        </w:rPr>
        <w:t xml:space="preserve">Združenje bank Slovenije je gospodarsko interesno združenje, ki deluje za interese svojih članic. Združenje ne zbira podatkov po katerih sprašujete, so pa nekateri javno dostopni v publikacijah Banke Slovenije, zato jih navajamo v nadaljevanju. </w:t>
      </w:r>
    </w:p>
    <w:p w14:paraId="3BEC021C" w14:textId="77777777" w:rsidR="00B05435" w:rsidRDefault="00B05435" w:rsidP="003B5715">
      <w:pPr>
        <w:jc w:val="both"/>
        <w:rPr>
          <w:rFonts w:ascii="Tahoma" w:eastAsia="Times New Roman" w:hAnsi="Tahoma" w:cs="Tahoma"/>
          <w:lang w:val="sv-SE" w:eastAsia="en-US"/>
        </w:rPr>
      </w:pPr>
    </w:p>
    <w:p w14:paraId="53CDFF1F" w14:textId="59256DEC" w:rsidR="00445480" w:rsidRDefault="00125516" w:rsidP="003B5715">
      <w:pPr>
        <w:jc w:val="both"/>
        <w:rPr>
          <w:rFonts w:ascii="Tahoma" w:eastAsia="Times New Roman" w:hAnsi="Tahoma" w:cs="Tahoma"/>
          <w:lang w:val="sv-SE" w:eastAsia="en-US"/>
        </w:rPr>
      </w:pPr>
      <w:r w:rsidRPr="00125516">
        <w:rPr>
          <w:rFonts w:ascii="Tahoma" w:eastAsia="Times New Roman" w:hAnsi="Tahoma" w:cs="Tahoma"/>
          <w:lang w:val="sv-SE" w:eastAsia="en-US"/>
        </w:rPr>
        <w:t>Obseg vlog gospodinjstev se je avgusta, prvič po marcu, minimalno zmanjšal, kar je, zaradi počitnic in povečanih stroškov pred novim šolskim letom, primerljivo z gibanjem vlog gospodinjstev v enakih obdobjih predhodnih let. Gospodinjstva imajo v bankah 25,1 mrd EUR prihrankov, kar je 5,5 % več kot pred enim letom (vir: Mesečna informacija o poslovanju bank, oktober 2022</w:t>
      </w:r>
      <w:r w:rsidR="008259C4">
        <w:rPr>
          <w:rFonts w:ascii="Tahoma" w:eastAsia="Times New Roman" w:hAnsi="Tahoma" w:cs="Tahoma"/>
          <w:lang w:val="sv-SE" w:eastAsia="en-US"/>
        </w:rPr>
        <w:t xml:space="preserve">, </w:t>
      </w:r>
      <w:r w:rsidRPr="00125516">
        <w:rPr>
          <w:rFonts w:ascii="Tahoma" w:eastAsia="Times New Roman" w:hAnsi="Tahoma" w:cs="Tahoma"/>
          <w:lang w:val="sv-SE" w:eastAsia="en-US"/>
        </w:rPr>
        <w:t>).</w:t>
      </w:r>
      <w:r w:rsidR="00B05435">
        <w:rPr>
          <w:rFonts w:ascii="Tahoma" w:eastAsia="Times New Roman" w:hAnsi="Tahoma" w:cs="Tahoma"/>
          <w:lang w:val="sv-SE" w:eastAsia="en-US"/>
        </w:rPr>
        <w:t xml:space="preserve"> Vloge gospodinjstev v zadnjih desetih letih so kon</w:t>
      </w:r>
      <w:r w:rsidR="008259C4">
        <w:rPr>
          <w:rFonts w:ascii="Tahoma" w:eastAsia="Times New Roman" w:hAnsi="Tahoma" w:cs="Tahoma"/>
          <w:lang w:val="sv-SE" w:eastAsia="en-US"/>
        </w:rPr>
        <w:t>stantno povečevale</w:t>
      </w:r>
      <w:r w:rsidR="00445480">
        <w:rPr>
          <w:rFonts w:ascii="Tahoma" w:eastAsia="Times New Roman" w:hAnsi="Tahoma" w:cs="Tahoma"/>
          <w:lang w:val="sv-SE" w:eastAsia="en-US"/>
        </w:rPr>
        <w:t>, kar je razvidno iz tabele spodaj</w:t>
      </w:r>
      <w:r w:rsidR="008259C4">
        <w:rPr>
          <w:rFonts w:ascii="Tahoma" w:eastAsia="Times New Roman" w:hAnsi="Tahoma" w:cs="Tahoma"/>
          <w:lang w:val="sv-SE" w:eastAsia="en-US"/>
        </w:rPr>
        <w:t>:</w:t>
      </w:r>
    </w:p>
    <w:p w14:paraId="4D6991D1" w14:textId="685055CB" w:rsidR="00445480" w:rsidRDefault="00445480" w:rsidP="003B5715">
      <w:pPr>
        <w:jc w:val="both"/>
        <w:rPr>
          <w:rFonts w:ascii="Tahoma" w:eastAsia="Times New Roman" w:hAnsi="Tahoma" w:cs="Tahoma"/>
          <w:lang w:val="sv-SE" w:eastAsia="en-US"/>
        </w:rPr>
      </w:pPr>
    </w:p>
    <w:p w14:paraId="301D24E4" w14:textId="6D79CA70" w:rsidR="00445480" w:rsidRPr="00445480" w:rsidRDefault="00445480" w:rsidP="003B5715">
      <w:pPr>
        <w:jc w:val="both"/>
        <w:rPr>
          <w:rFonts w:ascii="Tahoma" w:eastAsia="Times New Roman" w:hAnsi="Tahoma" w:cs="Tahoma"/>
          <w:b/>
          <w:bCs/>
          <w:lang w:val="sv-SE" w:eastAsia="en-US"/>
        </w:rPr>
      </w:pPr>
      <w:r w:rsidRPr="00445480">
        <w:rPr>
          <w:rFonts w:ascii="Tahoma" w:eastAsia="Times New Roman" w:hAnsi="Tahoma" w:cs="Tahoma"/>
          <w:b/>
          <w:bCs/>
          <w:lang w:val="sv-SE" w:eastAsia="en-US"/>
        </w:rPr>
        <w:t>Vloge gospodinjstev v bankah v mlrd EUR</w:t>
      </w:r>
    </w:p>
    <w:tbl>
      <w:tblPr>
        <w:tblStyle w:val="TableGrid"/>
        <w:tblW w:w="0" w:type="auto"/>
        <w:tblLook w:val="04A0" w:firstRow="1" w:lastRow="0" w:firstColumn="1" w:lastColumn="0" w:noHBand="0" w:noVBand="1"/>
      </w:tblPr>
      <w:tblGrid>
        <w:gridCol w:w="4531"/>
        <w:gridCol w:w="4531"/>
      </w:tblGrid>
      <w:tr w:rsidR="00445480" w14:paraId="279F319C" w14:textId="77777777" w:rsidTr="00445480">
        <w:tc>
          <w:tcPr>
            <w:tcW w:w="4531" w:type="dxa"/>
          </w:tcPr>
          <w:p w14:paraId="2DD9541F" w14:textId="3011210D" w:rsidR="00445480" w:rsidRDefault="00445480" w:rsidP="003B5715">
            <w:pPr>
              <w:jc w:val="both"/>
              <w:rPr>
                <w:rFonts w:ascii="Tahoma" w:eastAsia="Times New Roman" w:hAnsi="Tahoma" w:cs="Tahoma"/>
                <w:lang w:val="sv-SE" w:eastAsia="en-US"/>
              </w:rPr>
            </w:pPr>
            <w:r>
              <w:rPr>
                <w:rFonts w:ascii="Tahoma" w:eastAsia="Times New Roman" w:hAnsi="Tahoma" w:cs="Tahoma"/>
                <w:lang w:val="sv-SE" w:eastAsia="en-US"/>
              </w:rPr>
              <w:t>Leto</w:t>
            </w:r>
          </w:p>
        </w:tc>
        <w:tc>
          <w:tcPr>
            <w:tcW w:w="4531" w:type="dxa"/>
          </w:tcPr>
          <w:p w14:paraId="057D0115" w14:textId="3B4A240C" w:rsidR="00445480" w:rsidRDefault="00445480" w:rsidP="003B5715">
            <w:pPr>
              <w:jc w:val="both"/>
              <w:rPr>
                <w:rFonts w:ascii="Tahoma" w:eastAsia="Times New Roman" w:hAnsi="Tahoma" w:cs="Tahoma"/>
                <w:lang w:val="sv-SE" w:eastAsia="en-US"/>
              </w:rPr>
            </w:pPr>
            <w:r>
              <w:rPr>
                <w:rFonts w:ascii="Tahoma" w:eastAsia="Times New Roman" w:hAnsi="Tahoma" w:cs="Tahoma"/>
                <w:lang w:val="sv-SE" w:eastAsia="en-US"/>
              </w:rPr>
              <w:t>Znesek</w:t>
            </w:r>
          </w:p>
        </w:tc>
      </w:tr>
      <w:tr w:rsidR="00445480" w14:paraId="14EC95F7" w14:textId="77777777" w:rsidTr="00445480">
        <w:tc>
          <w:tcPr>
            <w:tcW w:w="4531" w:type="dxa"/>
          </w:tcPr>
          <w:p w14:paraId="213F033E" w14:textId="2DA7E2EA" w:rsidR="00445480" w:rsidRDefault="00445480" w:rsidP="003B5715">
            <w:pPr>
              <w:jc w:val="both"/>
              <w:rPr>
                <w:rFonts w:ascii="Tahoma" w:eastAsia="Times New Roman" w:hAnsi="Tahoma" w:cs="Tahoma"/>
                <w:lang w:val="sv-SE" w:eastAsia="en-US"/>
              </w:rPr>
            </w:pPr>
            <w:r>
              <w:rPr>
                <w:rFonts w:ascii="Tahoma" w:eastAsia="Times New Roman" w:hAnsi="Tahoma" w:cs="Tahoma"/>
                <w:lang w:val="sv-SE" w:eastAsia="en-US"/>
              </w:rPr>
              <w:t>Avgust 2017</w:t>
            </w:r>
          </w:p>
        </w:tc>
        <w:tc>
          <w:tcPr>
            <w:tcW w:w="4531" w:type="dxa"/>
          </w:tcPr>
          <w:p w14:paraId="096C25A3" w14:textId="1837DB60" w:rsidR="00445480" w:rsidRDefault="00445480" w:rsidP="003B5715">
            <w:pPr>
              <w:jc w:val="both"/>
              <w:rPr>
                <w:rFonts w:ascii="Tahoma" w:eastAsia="Times New Roman" w:hAnsi="Tahoma" w:cs="Tahoma"/>
                <w:lang w:val="sv-SE" w:eastAsia="en-US"/>
              </w:rPr>
            </w:pPr>
            <w:r w:rsidRPr="008259C4">
              <w:rPr>
                <w:rFonts w:ascii="Tahoma" w:eastAsia="Times New Roman" w:hAnsi="Tahoma" w:cs="Tahoma"/>
                <w:lang w:val="sv-SE" w:eastAsia="en-US"/>
              </w:rPr>
              <w:t>17.164</w:t>
            </w:r>
          </w:p>
        </w:tc>
      </w:tr>
      <w:tr w:rsidR="00445480" w14:paraId="2D7F379E" w14:textId="77777777" w:rsidTr="00445480">
        <w:tc>
          <w:tcPr>
            <w:tcW w:w="4531" w:type="dxa"/>
          </w:tcPr>
          <w:p w14:paraId="5341DD9A" w14:textId="09F9516A" w:rsidR="00445480" w:rsidRDefault="00445480" w:rsidP="00445480">
            <w:pPr>
              <w:jc w:val="both"/>
              <w:rPr>
                <w:rFonts w:ascii="Tahoma" w:eastAsia="Times New Roman" w:hAnsi="Tahoma" w:cs="Tahoma"/>
                <w:lang w:val="sv-SE" w:eastAsia="en-US"/>
              </w:rPr>
            </w:pPr>
            <w:r w:rsidRPr="001B3DFB">
              <w:t>Avgust</w:t>
            </w:r>
            <w:r>
              <w:t xml:space="preserve"> 2018</w:t>
            </w:r>
          </w:p>
        </w:tc>
        <w:tc>
          <w:tcPr>
            <w:tcW w:w="4531" w:type="dxa"/>
          </w:tcPr>
          <w:p w14:paraId="20DF319E" w14:textId="1C2221AA" w:rsidR="00445480" w:rsidRDefault="00445480" w:rsidP="00445480">
            <w:pPr>
              <w:jc w:val="both"/>
              <w:rPr>
                <w:rFonts w:ascii="Tahoma" w:eastAsia="Times New Roman" w:hAnsi="Tahoma" w:cs="Tahoma"/>
                <w:lang w:val="sv-SE" w:eastAsia="en-US"/>
              </w:rPr>
            </w:pPr>
            <w:r w:rsidRPr="008259C4">
              <w:rPr>
                <w:rFonts w:ascii="Tahoma" w:eastAsia="Times New Roman" w:hAnsi="Tahoma" w:cs="Tahoma"/>
                <w:lang w:val="sv-SE" w:eastAsia="en-US"/>
              </w:rPr>
              <w:t>18.312</w:t>
            </w:r>
          </w:p>
        </w:tc>
      </w:tr>
      <w:tr w:rsidR="00445480" w14:paraId="11E0DB57" w14:textId="77777777" w:rsidTr="00445480">
        <w:tc>
          <w:tcPr>
            <w:tcW w:w="4531" w:type="dxa"/>
          </w:tcPr>
          <w:p w14:paraId="04856B3D" w14:textId="6EC81C87" w:rsidR="00445480" w:rsidRDefault="00445480" w:rsidP="00445480">
            <w:pPr>
              <w:jc w:val="both"/>
              <w:rPr>
                <w:rFonts w:ascii="Tahoma" w:eastAsia="Times New Roman" w:hAnsi="Tahoma" w:cs="Tahoma"/>
                <w:lang w:val="sv-SE" w:eastAsia="en-US"/>
              </w:rPr>
            </w:pPr>
            <w:r w:rsidRPr="001B3DFB">
              <w:t>Avgust</w:t>
            </w:r>
            <w:r>
              <w:t xml:space="preserve"> 2019 </w:t>
            </w:r>
          </w:p>
        </w:tc>
        <w:tc>
          <w:tcPr>
            <w:tcW w:w="4531" w:type="dxa"/>
          </w:tcPr>
          <w:p w14:paraId="0D6FB78A" w14:textId="2E9C3894" w:rsidR="00445480" w:rsidRDefault="00445480" w:rsidP="00445480">
            <w:pPr>
              <w:jc w:val="both"/>
              <w:rPr>
                <w:rFonts w:ascii="Tahoma" w:eastAsia="Times New Roman" w:hAnsi="Tahoma" w:cs="Tahoma"/>
                <w:lang w:val="sv-SE" w:eastAsia="en-US"/>
              </w:rPr>
            </w:pPr>
            <w:r w:rsidRPr="008259C4">
              <w:rPr>
                <w:rFonts w:ascii="Tahoma" w:eastAsia="Times New Roman" w:hAnsi="Tahoma" w:cs="Tahoma"/>
                <w:lang w:val="sv-SE" w:eastAsia="en-US"/>
              </w:rPr>
              <w:t>19.763</w:t>
            </w:r>
          </w:p>
        </w:tc>
      </w:tr>
      <w:tr w:rsidR="00445480" w14:paraId="486E1733" w14:textId="77777777" w:rsidTr="00445480">
        <w:tc>
          <w:tcPr>
            <w:tcW w:w="4531" w:type="dxa"/>
          </w:tcPr>
          <w:p w14:paraId="7A4B408A" w14:textId="4D973340" w:rsidR="00445480" w:rsidRDefault="00445480" w:rsidP="00445480">
            <w:pPr>
              <w:jc w:val="both"/>
              <w:rPr>
                <w:rFonts w:ascii="Tahoma" w:eastAsia="Times New Roman" w:hAnsi="Tahoma" w:cs="Tahoma"/>
                <w:lang w:val="sv-SE" w:eastAsia="en-US"/>
              </w:rPr>
            </w:pPr>
            <w:r w:rsidRPr="001B3DFB">
              <w:t>Avgust</w:t>
            </w:r>
            <w:r>
              <w:t xml:space="preserve"> 2020</w:t>
            </w:r>
          </w:p>
        </w:tc>
        <w:tc>
          <w:tcPr>
            <w:tcW w:w="4531" w:type="dxa"/>
          </w:tcPr>
          <w:p w14:paraId="33F7E738" w14:textId="7860ACB5" w:rsidR="00445480" w:rsidRDefault="00445480" w:rsidP="00445480">
            <w:pPr>
              <w:jc w:val="both"/>
              <w:rPr>
                <w:rFonts w:ascii="Tahoma" w:eastAsia="Times New Roman" w:hAnsi="Tahoma" w:cs="Tahoma"/>
                <w:lang w:val="sv-SE" w:eastAsia="en-US"/>
              </w:rPr>
            </w:pPr>
            <w:r w:rsidRPr="008259C4">
              <w:rPr>
                <w:rFonts w:ascii="Tahoma" w:eastAsia="Times New Roman" w:hAnsi="Tahoma" w:cs="Tahoma"/>
                <w:lang w:val="sv-SE" w:eastAsia="en-US"/>
              </w:rPr>
              <w:t>21.651</w:t>
            </w:r>
          </w:p>
        </w:tc>
      </w:tr>
      <w:tr w:rsidR="00445480" w14:paraId="5EB290DA" w14:textId="77777777" w:rsidTr="00445480">
        <w:tc>
          <w:tcPr>
            <w:tcW w:w="4531" w:type="dxa"/>
          </w:tcPr>
          <w:p w14:paraId="427CE0C9" w14:textId="4C2AF217" w:rsidR="00445480" w:rsidRDefault="00445480" w:rsidP="00445480">
            <w:pPr>
              <w:jc w:val="both"/>
              <w:rPr>
                <w:rFonts w:ascii="Tahoma" w:eastAsia="Times New Roman" w:hAnsi="Tahoma" w:cs="Tahoma"/>
                <w:lang w:val="sv-SE" w:eastAsia="en-US"/>
              </w:rPr>
            </w:pPr>
            <w:r w:rsidRPr="001B3DFB">
              <w:t>Avgust</w:t>
            </w:r>
            <w:r>
              <w:t xml:space="preserve"> 2021</w:t>
            </w:r>
          </w:p>
        </w:tc>
        <w:tc>
          <w:tcPr>
            <w:tcW w:w="4531" w:type="dxa"/>
          </w:tcPr>
          <w:p w14:paraId="4BC85004" w14:textId="63BAAB76" w:rsidR="00445480" w:rsidRDefault="00445480" w:rsidP="00445480">
            <w:pPr>
              <w:jc w:val="both"/>
              <w:rPr>
                <w:rFonts w:ascii="Tahoma" w:eastAsia="Times New Roman" w:hAnsi="Tahoma" w:cs="Tahoma"/>
                <w:lang w:val="sv-SE" w:eastAsia="en-US"/>
              </w:rPr>
            </w:pPr>
            <w:r w:rsidRPr="008259C4">
              <w:rPr>
                <w:rFonts w:ascii="Tahoma" w:eastAsia="Times New Roman" w:hAnsi="Tahoma" w:cs="Tahoma"/>
                <w:lang w:val="sv-SE" w:eastAsia="en-US"/>
              </w:rPr>
              <w:t>23.802</w:t>
            </w:r>
          </w:p>
        </w:tc>
      </w:tr>
      <w:tr w:rsidR="00445480" w14:paraId="302A61F7" w14:textId="77777777" w:rsidTr="00445480">
        <w:tc>
          <w:tcPr>
            <w:tcW w:w="4531" w:type="dxa"/>
          </w:tcPr>
          <w:p w14:paraId="04913A66" w14:textId="7B33681D" w:rsidR="00445480" w:rsidRPr="001B3DFB" w:rsidRDefault="00445480" w:rsidP="00445480">
            <w:pPr>
              <w:jc w:val="both"/>
            </w:pPr>
            <w:r>
              <w:t>Avgust 2022</w:t>
            </w:r>
          </w:p>
        </w:tc>
        <w:tc>
          <w:tcPr>
            <w:tcW w:w="4531" w:type="dxa"/>
          </w:tcPr>
          <w:p w14:paraId="527A12A7" w14:textId="6048B443" w:rsidR="00445480" w:rsidRPr="008259C4" w:rsidRDefault="00445480" w:rsidP="00445480">
            <w:pPr>
              <w:jc w:val="both"/>
              <w:rPr>
                <w:rFonts w:ascii="Tahoma" w:eastAsia="Times New Roman" w:hAnsi="Tahoma" w:cs="Tahoma"/>
                <w:lang w:val="sv-SE" w:eastAsia="en-US"/>
              </w:rPr>
            </w:pPr>
            <w:r w:rsidRPr="00445480">
              <w:rPr>
                <w:rFonts w:ascii="Tahoma" w:eastAsia="Times New Roman" w:hAnsi="Tahoma" w:cs="Tahoma"/>
                <w:lang w:val="sv-SE" w:eastAsia="en-US"/>
              </w:rPr>
              <w:t>25.102</w:t>
            </w:r>
          </w:p>
        </w:tc>
      </w:tr>
    </w:tbl>
    <w:p w14:paraId="194FEAAF" w14:textId="77777777" w:rsidR="00445480" w:rsidRPr="00445480" w:rsidRDefault="00445480" w:rsidP="003B5715">
      <w:pPr>
        <w:jc w:val="both"/>
        <w:rPr>
          <w:rFonts w:ascii="Tahoma" w:eastAsia="Times New Roman" w:hAnsi="Tahoma" w:cs="Tahoma"/>
          <w:sz w:val="18"/>
          <w:szCs w:val="18"/>
          <w:lang w:val="sv-SE" w:eastAsia="en-US"/>
        </w:rPr>
      </w:pPr>
      <w:r w:rsidRPr="00445480">
        <w:rPr>
          <w:rFonts w:ascii="Tahoma" w:eastAsia="Times New Roman" w:hAnsi="Tahoma" w:cs="Tahoma"/>
          <w:sz w:val="18"/>
          <w:szCs w:val="18"/>
          <w:lang w:val="sv-SE" w:eastAsia="en-US"/>
        </w:rPr>
        <w:t>Vir: Banka Slovenije, publikacija Mesečna informacija o poslovanju bank</w:t>
      </w:r>
    </w:p>
    <w:p w14:paraId="272A5161" w14:textId="77777777" w:rsidR="00AB3729" w:rsidRDefault="00AB3729" w:rsidP="003B5715">
      <w:pPr>
        <w:jc w:val="both"/>
        <w:rPr>
          <w:rFonts w:ascii="Tahoma" w:eastAsia="Times New Roman" w:hAnsi="Tahoma" w:cs="Tahoma"/>
          <w:lang w:val="sv-SE" w:eastAsia="en-US"/>
        </w:rPr>
      </w:pPr>
    </w:p>
    <w:p w14:paraId="57774834" w14:textId="7484D69E" w:rsidR="00020FEC" w:rsidRDefault="00445480" w:rsidP="003B5715">
      <w:pPr>
        <w:jc w:val="both"/>
        <w:rPr>
          <w:rFonts w:ascii="Tahoma" w:eastAsia="Times New Roman" w:hAnsi="Tahoma" w:cs="Tahoma"/>
          <w:lang w:val="sv-SE" w:eastAsia="en-US"/>
        </w:rPr>
      </w:pPr>
      <w:r>
        <w:rPr>
          <w:rFonts w:ascii="Tahoma" w:eastAsia="Times New Roman" w:hAnsi="Tahoma" w:cs="Tahoma"/>
          <w:lang w:val="sv-SE" w:eastAsia="en-US"/>
        </w:rPr>
        <w:lastRenderedPageBreak/>
        <w:t xml:space="preserve">Povprečni privarčevani znesek v okviru zajamčenih vlog je okrog 12.000 EUR. </w:t>
      </w:r>
      <w:r w:rsidR="00FB76DB">
        <w:rPr>
          <w:rFonts w:ascii="Tahoma" w:eastAsia="Times New Roman" w:hAnsi="Tahoma" w:cs="Tahoma"/>
          <w:lang w:val="sv-SE" w:eastAsia="en-US"/>
        </w:rPr>
        <w:t>Število vlagateljev, ki imajo pri bankah zajamčene vloge pa je 2.128.475.</w:t>
      </w:r>
    </w:p>
    <w:p w14:paraId="06537522" w14:textId="4AC13AD8" w:rsidR="00FB76DB" w:rsidRDefault="00FB76DB" w:rsidP="003B5715">
      <w:pPr>
        <w:jc w:val="both"/>
        <w:rPr>
          <w:rFonts w:ascii="Tahoma" w:eastAsia="Times New Roman" w:hAnsi="Tahoma" w:cs="Tahoma"/>
          <w:lang w:val="sv-SE" w:eastAsia="en-US"/>
        </w:rPr>
      </w:pPr>
    </w:p>
    <w:p w14:paraId="1924A795" w14:textId="3956EC5B" w:rsidR="00125516" w:rsidRDefault="00125516" w:rsidP="003B5715">
      <w:pPr>
        <w:jc w:val="both"/>
        <w:rPr>
          <w:rFonts w:ascii="Tahoma" w:hAnsi="Tahoma" w:cs="Tahoma"/>
        </w:rPr>
      </w:pPr>
    </w:p>
    <w:p w14:paraId="0919B00B" w14:textId="1FB991EB" w:rsidR="00020FEC" w:rsidRPr="00A60103" w:rsidRDefault="00A60103" w:rsidP="00AB3729">
      <w:pPr>
        <w:rPr>
          <w:rFonts w:ascii="Tahoma" w:eastAsia="Times New Roman" w:hAnsi="Tahoma" w:cs="Tahoma"/>
          <w:b/>
          <w:bCs/>
          <w:lang w:val="sv-SE" w:eastAsia="en-US"/>
        </w:rPr>
      </w:pPr>
      <w:r w:rsidRPr="00A60103">
        <w:rPr>
          <w:rFonts w:ascii="Tahoma" w:eastAsia="Times New Roman" w:hAnsi="Tahoma" w:cs="Tahoma"/>
          <w:b/>
          <w:bCs/>
          <w:lang w:val="sv-SE" w:eastAsia="en-US"/>
        </w:rPr>
        <w:t>Stopnja bruto varčevanja gospodinjstev, 2020 (%, razmerje med bruto varčevanjem in bruto razpoložljivim dohodkom)</w:t>
      </w:r>
    </w:p>
    <w:p w14:paraId="3D77FAB9" w14:textId="6F686506" w:rsidR="00B42A0F" w:rsidRDefault="00B42A0F" w:rsidP="003B5715">
      <w:pPr>
        <w:jc w:val="both"/>
        <w:rPr>
          <w:rFonts w:ascii="Tahoma" w:hAnsi="Tahoma" w:cs="Tahoma"/>
        </w:rPr>
      </w:pPr>
      <w:r w:rsidRPr="00B42A0F">
        <w:rPr>
          <w:rFonts w:ascii="Tahoma" w:hAnsi="Tahoma" w:cs="Tahoma"/>
          <w:noProof/>
        </w:rPr>
        <w:drawing>
          <wp:inline distT="0" distB="0" distL="0" distR="0" wp14:anchorId="7BBFC407" wp14:editId="7E2DAD1B">
            <wp:extent cx="5771515" cy="2666736"/>
            <wp:effectExtent l="0" t="0" r="635"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564" b="2815"/>
                    <a:stretch/>
                  </pic:blipFill>
                  <pic:spPr bwMode="auto">
                    <a:xfrm>
                      <a:off x="0" y="0"/>
                      <a:ext cx="5772539" cy="2667209"/>
                    </a:xfrm>
                    <a:prstGeom prst="rect">
                      <a:avLst/>
                    </a:prstGeom>
                    <a:ln>
                      <a:noFill/>
                    </a:ln>
                    <a:extLst>
                      <a:ext uri="{53640926-AAD7-44D8-BBD7-CCE9431645EC}">
                        <a14:shadowObscured xmlns:a14="http://schemas.microsoft.com/office/drawing/2010/main"/>
                      </a:ext>
                    </a:extLst>
                  </pic:spPr>
                </pic:pic>
              </a:graphicData>
            </a:graphic>
          </wp:inline>
        </w:drawing>
      </w:r>
    </w:p>
    <w:p w14:paraId="12F88122" w14:textId="1F7EC39A" w:rsidR="00A60103" w:rsidRDefault="00A60103" w:rsidP="00AB3729">
      <w:pPr>
        <w:rPr>
          <w:rFonts w:ascii="Tahoma" w:hAnsi="Tahoma" w:cs="Tahoma"/>
          <w:sz w:val="20"/>
          <w:szCs w:val="20"/>
        </w:rPr>
      </w:pPr>
      <w:r w:rsidRPr="00AB3729">
        <w:rPr>
          <w:rFonts w:ascii="Tahoma" w:hAnsi="Tahoma" w:cs="Tahoma"/>
          <w:sz w:val="20"/>
          <w:szCs w:val="20"/>
        </w:rPr>
        <w:t>Vir:</w:t>
      </w:r>
      <w:r w:rsidR="00AB3729">
        <w:rPr>
          <w:rFonts w:ascii="Tahoma" w:hAnsi="Tahoma" w:cs="Tahoma"/>
          <w:sz w:val="20"/>
          <w:szCs w:val="20"/>
        </w:rPr>
        <w:t xml:space="preserve"> </w:t>
      </w:r>
      <w:hyperlink r:id="rId11" w:history="1">
        <w:r w:rsidR="00AB3729" w:rsidRPr="00880DAC">
          <w:rPr>
            <w:rStyle w:val="Hyperlink"/>
            <w:rFonts w:ascii="Tahoma" w:hAnsi="Tahoma" w:cs="Tahoma"/>
            <w:sz w:val="20"/>
            <w:szCs w:val="20"/>
          </w:rPr>
          <w:t>https://ec.europa.eu/eurostat/statistics-explained/index.php?title=Households_-_statistics_on_disposable_income,_saving_and_investment#Household_saving_rate</w:t>
        </w:r>
      </w:hyperlink>
    </w:p>
    <w:p w14:paraId="6305B897" w14:textId="6D8768F2" w:rsidR="00A60103" w:rsidRDefault="00A60103" w:rsidP="003B5715">
      <w:pPr>
        <w:jc w:val="both"/>
        <w:rPr>
          <w:rFonts w:ascii="Tahoma" w:hAnsi="Tahoma" w:cs="Tahoma"/>
        </w:rPr>
      </w:pPr>
    </w:p>
    <w:p w14:paraId="7ED201EC" w14:textId="77777777" w:rsidR="00A60103" w:rsidRDefault="00A60103" w:rsidP="003B5715">
      <w:pPr>
        <w:jc w:val="both"/>
        <w:rPr>
          <w:rFonts w:ascii="Tahoma" w:hAnsi="Tahoma" w:cs="Tahoma"/>
        </w:rPr>
      </w:pPr>
    </w:p>
    <w:p w14:paraId="2E8A50FE" w14:textId="12733303" w:rsidR="00020FEC" w:rsidRDefault="00B42A0F" w:rsidP="00AB3729">
      <w:pPr>
        <w:rPr>
          <w:rFonts w:ascii="Tahoma" w:hAnsi="Tahoma" w:cs="Tahoma"/>
          <w:sz w:val="18"/>
          <w:szCs w:val="18"/>
        </w:rPr>
      </w:pPr>
      <w:r w:rsidRPr="00B42A0F">
        <w:rPr>
          <w:rFonts w:ascii="Tahoma" w:eastAsia="Times New Roman" w:hAnsi="Tahoma" w:cs="Tahoma"/>
          <w:b/>
          <w:bCs/>
          <w:lang w:val="sv-SE" w:eastAsia="en-US"/>
        </w:rPr>
        <w:t>Prihranki gospodinjstev v evroobmočju v mlrd EUR</w:t>
      </w:r>
      <w:r w:rsidR="00FB76DB" w:rsidRPr="00FB76DB">
        <w:rPr>
          <w:rFonts w:ascii="Tahoma" w:hAnsi="Tahoma" w:cs="Tahoma"/>
          <w:noProof/>
        </w:rPr>
        <w:drawing>
          <wp:inline distT="0" distB="0" distL="0" distR="0" wp14:anchorId="0B870973" wp14:editId="1D79893F">
            <wp:extent cx="5417697" cy="366375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0586" cy="3672470"/>
                    </a:xfrm>
                    <a:prstGeom prst="rect">
                      <a:avLst/>
                    </a:prstGeom>
                  </pic:spPr>
                </pic:pic>
              </a:graphicData>
            </a:graphic>
          </wp:inline>
        </w:drawing>
      </w:r>
      <w:r w:rsidR="00FB76DB" w:rsidRPr="00FB76DB">
        <w:rPr>
          <w:rFonts w:ascii="Tahoma" w:hAnsi="Tahoma" w:cs="Tahoma"/>
          <w:sz w:val="18"/>
          <w:szCs w:val="18"/>
        </w:rPr>
        <w:t>Vir:</w:t>
      </w:r>
      <w:r w:rsidR="00AB3729">
        <w:rPr>
          <w:rFonts w:ascii="Tahoma" w:hAnsi="Tahoma" w:cs="Tahoma"/>
          <w:sz w:val="18"/>
          <w:szCs w:val="18"/>
        </w:rPr>
        <w:t xml:space="preserve"> </w:t>
      </w:r>
      <w:hyperlink r:id="rId13" w:history="1">
        <w:r w:rsidR="00AB3729" w:rsidRPr="00880DAC">
          <w:rPr>
            <w:rStyle w:val="Hyperlink"/>
            <w:rFonts w:ascii="Tahoma" w:hAnsi="Tahoma" w:cs="Tahoma"/>
            <w:sz w:val="18"/>
            <w:szCs w:val="18"/>
          </w:rPr>
          <w:t>https://www.imf.org/en/Blogs/Articles/2022/02/10/europes-consumers-are-sitting-on-1-trillion-euros-in-pandemic-savings</w:t>
        </w:r>
      </w:hyperlink>
    </w:p>
    <w:p w14:paraId="36B25CAD" w14:textId="41FDD90C" w:rsidR="00020FEC" w:rsidRDefault="00B42A0F" w:rsidP="003B5715">
      <w:pPr>
        <w:jc w:val="both"/>
        <w:rPr>
          <w:rFonts w:ascii="Tahoma" w:hAnsi="Tahoma" w:cs="Tahoma"/>
        </w:rPr>
      </w:pPr>
      <w:r w:rsidRPr="00B42A0F">
        <w:rPr>
          <w:rFonts w:ascii="Tahoma" w:hAnsi="Tahoma" w:cs="Tahoma"/>
        </w:rPr>
        <w:lastRenderedPageBreak/>
        <w:t>V obdobjih gospodarske negotovosti je mogoče pričakovati, da se bodo stopnje varčevanja gospodinjstev povečale, saj gospodinjstva običajno varčujejo več</w:t>
      </w:r>
      <w:r>
        <w:rPr>
          <w:rFonts w:ascii="Tahoma" w:hAnsi="Tahoma" w:cs="Tahoma"/>
        </w:rPr>
        <w:t xml:space="preserve"> </w:t>
      </w:r>
      <w:r w:rsidRPr="00B42A0F">
        <w:rPr>
          <w:rFonts w:ascii="Tahoma" w:hAnsi="Tahoma" w:cs="Tahoma"/>
        </w:rPr>
        <w:t xml:space="preserve">in lahko odložijo izdatke za nekatere nebistvene dobrine in storitve, dokler se gospodarske razmere ne izboljšajo. </w:t>
      </w:r>
    </w:p>
    <w:p w14:paraId="7DEAB7DB" w14:textId="309C47F7" w:rsidR="00020FEC" w:rsidRDefault="00020FEC" w:rsidP="003B5715">
      <w:pPr>
        <w:jc w:val="both"/>
        <w:rPr>
          <w:rFonts w:ascii="Tahoma" w:hAnsi="Tahoma" w:cs="Tahoma"/>
        </w:rPr>
      </w:pPr>
    </w:p>
    <w:p w14:paraId="7681AEDC" w14:textId="681E2FD8" w:rsidR="00020FEC" w:rsidRDefault="00020FEC" w:rsidP="003B5715">
      <w:pPr>
        <w:jc w:val="both"/>
        <w:rPr>
          <w:rFonts w:ascii="Tahoma" w:hAnsi="Tahoma" w:cs="Tahoma"/>
        </w:rPr>
      </w:pPr>
    </w:p>
    <w:p w14:paraId="691E7078" w14:textId="77777777" w:rsidR="00020FEC" w:rsidRDefault="00020FEC" w:rsidP="003B5715">
      <w:pPr>
        <w:jc w:val="both"/>
        <w:rPr>
          <w:rFonts w:ascii="Tahoma" w:hAnsi="Tahoma" w:cs="Tahoma"/>
        </w:rPr>
      </w:pPr>
    </w:p>
    <w:p w14:paraId="0DEEA6CF" w14:textId="7F5EF49E" w:rsidR="003B5715" w:rsidRPr="00BB0AFE" w:rsidRDefault="003B5715" w:rsidP="003B5715">
      <w:pPr>
        <w:jc w:val="both"/>
        <w:rPr>
          <w:rFonts w:ascii="Tahoma" w:hAnsi="Tahoma" w:cs="Tahoma"/>
        </w:rPr>
      </w:pPr>
      <w:r w:rsidRPr="00BB0AFE">
        <w:rPr>
          <w:rFonts w:ascii="Tahoma" w:hAnsi="Tahoma" w:cs="Tahoma"/>
        </w:rPr>
        <w:t>Združenje bank Slovenije</w:t>
      </w:r>
    </w:p>
    <w:p w14:paraId="01613162" w14:textId="27E8748F" w:rsidR="00730F03" w:rsidRDefault="003B5715" w:rsidP="003B5715">
      <w:pPr>
        <w:jc w:val="both"/>
        <w:rPr>
          <w:rFonts w:ascii="Tahoma" w:hAnsi="Tahoma" w:cs="Tahoma"/>
        </w:rPr>
      </w:pPr>
      <w:r w:rsidRPr="00BB0AFE">
        <w:rPr>
          <w:rFonts w:ascii="Tahoma" w:hAnsi="Tahoma" w:cs="Tahoma"/>
        </w:rPr>
        <w:t xml:space="preserve">Ljubljana, </w:t>
      </w:r>
      <w:r w:rsidR="00934D36">
        <w:rPr>
          <w:rFonts w:ascii="Tahoma" w:hAnsi="Tahoma" w:cs="Tahoma"/>
        </w:rPr>
        <w:t>25</w:t>
      </w:r>
      <w:r w:rsidR="00DD274A" w:rsidRPr="00BB0AFE">
        <w:rPr>
          <w:rFonts w:ascii="Tahoma" w:hAnsi="Tahoma" w:cs="Tahoma"/>
        </w:rPr>
        <w:t>. oktober</w:t>
      </w:r>
      <w:r w:rsidR="00D47B13" w:rsidRPr="00BB0AFE">
        <w:rPr>
          <w:rFonts w:ascii="Tahoma" w:hAnsi="Tahoma" w:cs="Tahoma"/>
        </w:rPr>
        <w:t xml:space="preserve"> 2022</w:t>
      </w:r>
    </w:p>
    <w:p w14:paraId="1BCC693E" w14:textId="0BEE3A75" w:rsidR="00ED3A58" w:rsidRDefault="00ED3A58" w:rsidP="003B5715">
      <w:pPr>
        <w:jc w:val="both"/>
        <w:rPr>
          <w:rFonts w:ascii="Tahoma" w:hAnsi="Tahoma" w:cs="Tahoma"/>
        </w:rPr>
      </w:pPr>
    </w:p>
    <w:p w14:paraId="124FEAF9" w14:textId="3F33067A" w:rsidR="00B479AB" w:rsidRPr="00B479AB" w:rsidRDefault="00B479AB" w:rsidP="00B479AB">
      <w:pPr>
        <w:pStyle w:val="NormalWeb"/>
        <w:jc w:val="both"/>
        <w:rPr>
          <w:rFonts w:ascii="Tahoma" w:hAnsi="Tahoma" w:cs="Tahoma"/>
          <w:b/>
          <w:bCs/>
          <w:color w:val="333333"/>
          <w:sz w:val="22"/>
          <w:szCs w:val="22"/>
          <w:shd w:val="clear" w:color="auto" w:fill="FFFFFF"/>
        </w:rPr>
      </w:pPr>
      <w:r w:rsidRPr="00B479AB">
        <w:rPr>
          <w:rFonts w:ascii="Tahoma" w:hAnsi="Tahoma" w:cs="Tahoma"/>
          <w:b/>
          <w:bCs/>
          <w:color w:val="333333"/>
          <w:sz w:val="22"/>
          <w:szCs w:val="22"/>
          <w:shd w:val="clear" w:color="auto" w:fill="FFFFFF"/>
        </w:rPr>
        <w:t xml:space="preserve">Ob </w:t>
      </w:r>
      <w:r w:rsidR="00AB3729">
        <w:rPr>
          <w:rFonts w:ascii="Tahoma" w:hAnsi="Tahoma" w:cs="Tahoma"/>
          <w:b/>
          <w:bCs/>
          <w:color w:val="333333"/>
          <w:sz w:val="22"/>
          <w:szCs w:val="22"/>
          <w:shd w:val="clear" w:color="auto" w:fill="FFFFFF"/>
        </w:rPr>
        <w:t>S</w:t>
      </w:r>
      <w:r w:rsidRPr="00B479AB">
        <w:rPr>
          <w:rFonts w:ascii="Tahoma" w:hAnsi="Tahoma" w:cs="Tahoma"/>
          <w:b/>
          <w:bCs/>
          <w:color w:val="333333"/>
          <w:sz w:val="22"/>
          <w:szCs w:val="22"/>
          <w:shd w:val="clear" w:color="auto" w:fill="FFFFFF"/>
        </w:rPr>
        <w:t>vetovnem dnevu varčevanja</w:t>
      </w:r>
    </w:p>
    <w:p w14:paraId="4225BBAF" w14:textId="2F9B091C" w:rsidR="00ED3A58" w:rsidRPr="00B479AB" w:rsidRDefault="00ED3A58" w:rsidP="00B479AB">
      <w:pPr>
        <w:pStyle w:val="NormalWeb"/>
        <w:jc w:val="both"/>
        <w:rPr>
          <w:rFonts w:ascii="Tahoma" w:hAnsi="Tahoma" w:cs="Tahoma"/>
          <w:bCs/>
          <w:sz w:val="22"/>
          <w:szCs w:val="22"/>
        </w:rPr>
      </w:pPr>
      <w:r w:rsidRPr="00B479AB">
        <w:rPr>
          <w:rFonts w:ascii="Tahoma" w:hAnsi="Tahoma" w:cs="Tahoma"/>
          <w:color w:val="333333"/>
          <w:sz w:val="22"/>
          <w:szCs w:val="22"/>
          <w:shd w:val="clear" w:color="auto" w:fill="FFFFFF"/>
        </w:rPr>
        <w:t xml:space="preserve">31. oktober je bil za svetovni dan varčevanja določen na prvem mednarodnem kongresu hranilnic v Milanu v Italiji leta 1924. </w:t>
      </w:r>
      <w:r w:rsidR="00AB3729">
        <w:rPr>
          <w:rFonts w:ascii="Tahoma" w:hAnsi="Tahoma" w:cs="Tahoma"/>
          <w:color w:val="333333"/>
          <w:sz w:val="22"/>
          <w:szCs w:val="22"/>
          <w:shd w:val="clear" w:color="auto" w:fill="FFFFFF"/>
        </w:rPr>
        <w:t>K</w:t>
      </w:r>
      <w:r w:rsidRPr="00B479AB">
        <w:rPr>
          <w:rFonts w:ascii="Tahoma" w:hAnsi="Tahoma" w:cs="Tahoma"/>
          <w:color w:val="333333"/>
          <w:sz w:val="22"/>
          <w:szCs w:val="22"/>
          <w:shd w:val="clear" w:color="auto" w:fill="FFFFFF"/>
        </w:rPr>
        <w:t>ongres</w:t>
      </w:r>
      <w:r w:rsidR="00AB3729">
        <w:rPr>
          <w:rFonts w:ascii="Tahoma" w:hAnsi="Tahoma" w:cs="Tahoma"/>
          <w:color w:val="333333"/>
          <w:sz w:val="22"/>
          <w:szCs w:val="22"/>
          <w:shd w:val="clear" w:color="auto" w:fill="FFFFFF"/>
        </w:rPr>
        <w:t xml:space="preserve">a se </w:t>
      </w:r>
      <w:r w:rsidRPr="00B479AB">
        <w:rPr>
          <w:rFonts w:ascii="Tahoma" w:hAnsi="Tahoma" w:cs="Tahoma"/>
          <w:color w:val="333333"/>
          <w:sz w:val="22"/>
          <w:szCs w:val="22"/>
          <w:shd w:val="clear" w:color="auto" w:fill="FFFFFF"/>
        </w:rPr>
        <w:t xml:space="preserve">je </w:t>
      </w:r>
      <w:r w:rsidR="00AB3729">
        <w:rPr>
          <w:rFonts w:ascii="Tahoma" w:hAnsi="Tahoma" w:cs="Tahoma"/>
          <w:color w:val="333333"/>
          <w:sz w:val="22"/>
          <w:szCs w:val="22"/>
          <w:shd w:val="clear" w:color="auto" w:fill="FFFFFF"/>
        </w:rPr>
        <w:t>udležilo</w:t>
      </w:r>
      <w:r w:rsidRPr="00B479AB">
        <w:rPr>
          <w:rFonts w:ascii="Tahoma" w:hAnsi="Tahoma" w:cs="Tahoma"/>
          <w:color w:val="333333"/>
          <w:sz w:val="22"/>
          <w:szCs w:val="22"/>
          <w:shd w:val="clear" w:color="auto" w:fill="FFFFFF"/>
        </w:rPr>
        <w:t xml:space="preserve"> 354 predstavnikov približno 7.000 hranilnic in njihovih podružnic iz 27 držav. Glavni cilj kongresa je bil spodbuditi prebivalstvo k varčevanju, zlasti v obliki vlog na računih v bankah in hranilnicah. </w:t>
      </w:r>
      <w:r w:rsidRPr="00B479AB">
        <w:rPr>
          <w:rFonts w:ascii="Tahoma" w:hAnsi="Tahoma" w:cs="Tahoma"/>
          <w:sz w:val="22"/>
          <w:szCs w:val="22"/>
        </w:rPr>
        <w:t xml:space="preserve">Na zboru, ki se ga je udeležil tudi slovenski predstavnik, so ustanovili Mednarodni inštitut za varčevanje in zbor pospremili z razglasom, da sta delo </w:t>
      </w:r>
      <w:r w:rsidRPr="00B479AB">
        <w:rPr>
          <w:rFonts w:ascii="Tahoma" w:hAnsi="Tahoma" w:cs="Tahoma"/>
          <w:bCs/>
          <w:sz w:val="22"/>
          <w:szCs w:val="22"/>
        </w:rPr>
        <w:t>in varčevanje najmočnejša dejavnika na poti k blaginji, napredku in dostojanstvu vsakega posameznika in družbe kot celote.</w:t>
      </w:r>
    </w:p>
    <w:p w14:paraId="1E6CE543" w14:textId="7DFB983D" w:rsidR="00ED3A58" w:rsidRPr="00B479AB" w:rsidRDefault="00ED3A58" w:rsidP="00B479AB">
      <w:pPr>
        <w:pStyle w:val="NormalWeb"/>
        <w:jc w:val="both"/>
        <w:rPr>
          <w:rStyle w:val="Emphasis"/>
          <w:rFonts w:ascii="Tahoma" w:hAnsi="Tahoma" w:cs="Tahoma"/>
          <w:i w:val="0"/>
          <w:sz w:val="22"/>
          <w:szCs w:val="22"/>
        </w:rPr>
      </w:pPr>
      <w:r w:rsidRPr="00B479AB">
        <w:rPr>
          <w:rFonts w:ascii="Tahoma" w:hAnsi="Tahoma" w:cs="Tahoma"/>
          <w:bCs/>
          <w:sz w:val="22"/>
          <w:szCs w:val="22"/>
        </w:rPr>
        <w:t xml:space="preserve">Razglas je vreden premisleka tudi danes, ko je še kako pomembno zavedanje o bistvu varčevanja. Naravnanost človeka in njegovih aktivnosti v svetu daje namreč vtis, da je vseh dobrin neskončno dovolj. Svet človekovih potreb postaja vse bolj zapleten in kompleksen, večina človekovih težav pa izhaja iz neprepoznavanja pravih oz. tistih potreb, katerih zadovoljevanje bi posamezniku prineslo resnično blaginjo, srečo in dostojanstvo. Zato je še kako pomembno izprašati naš odnos do varčevanja, ki je nenazadnje pomemben tudi za </w:t>
      </w:r>
      <w:r w:rsidRPr="00B479AB">
        <w:rPr>
          <w:rStyle w:val="Emphasis"/>
          <w:rFonts w:ascii="Tahoma" w:hAnsi="Tahoma" w:cs="Tahoma"/>
          <w:i w:val="0"/>
          <w:sz w:val="22"/>
          <w:szCs w:val="22"/>
        </w:rPr>
        <w:t>gospodarsko rast države.</w:t>
      </w:r>
    </w:p>
    <w:p w14:paraId="49DEF489" w14:textId="77777777" w:rsidR="00ED3A58" w:rsidRPr="00B479AB" w:rsidRDefault="00ED3A58" w:rsidP="00B479AB">
      <w:pPr>
        <w:pStyle w:val="NormalWeb"/>
        <w:jc w:val="both"/>
        <w:rPr>
          <w:rFonts w:ascii="Tahoma" w:hAnsi="Tahoma" w:cs="Tahoma"/>
          <w:sz w:val="22"/>
          <w:szCs w:val="22"/>
        </w:rPr>
      </w:pPr>
      <w:r w:rsidRPr="00B479AB">
        <w:rPr>
          <w:rFonts w:ascii="Tahoma" w:hAnsi="Tahoma" w:cs="Tahoma"/>
          <w:sz w:val="22"/>
          <w:szCs w:val="22"/>
        </w:rPr>
        <w:t xml:space="preserve">Beseda varčevanje izhaja iz samostalnika varec in pomeni čuvaja, nekoga, ki varuje. </w:t>
      </w:r>
      <w:r w:rsidRPr="00B479AB">
        <w:rPr>
          <w:rFonts w:ascii="Tahoma" w:hAnsi="Tahoma" w:cs="Tahoma"/>
          <w:bCs/>
          <w:sz w:val="22"/>
          <w:szCs w:val="22"/>
        </w:rPr>
        <w:t>Varčen ni samo tisti, ki varčuje pri denarju, ampak tudi tisti, ki varčuje pri dobrinah nasploh. In v</w:t>
      </w:r>
      <w:r w:rsidRPr="00B479AB">
        <w:rPr>
          <w:rFonts w:ascii="Tahoma" w:hAnsi="Tahoma" w:cs="Tahoma"/>
          <w:sz w:val="22"/>
          <w:szCs w:val="22"/>
        </w:rPr>
        <w:t xml:space="preserve">arčevalec je nekdo, ki varčuje pri banki – tako v slovarju slovenskega knjižnega jezika. </w:t>
      </w:r>
    </w:p>
    <w:p w14:paraId="5A0B6D8C" w14:textId="3C9E0543" w:rsidR="00ED3A58" w:rsidRPr="00B479AB" w:rsidRDefault="00ED3A58" w:rsidP="00B479AB">
      <w:pPr>
        <w:pStyle w:val="NormalWeb"/>
        <w:jc w:val="both"/>
        <w:rPr>
          <w:rFonts w:ascii="Tahoma" w:hAnsi="Tahoma" w:cs="Tahoma"/>
          <w:color w:val="333333"/>
          <w:sz w:val="22"/>
          <w:szCs w:val="22"/>
          <w:shd w:val="clear" w:color="auto" w:fill="FFFFFF"/>
        </w:rPr>
      </w:pPr>
      <w:r w:rsidRPr="00B479AB">
        <w:rPr>
          <w:rFonts w:ascii="Tahoma" w:hAnsi="Tahoma" w:cs="Tahoma"/>
          <w:color w:val="333333"/>
          <w:sz w:val="22"/>
          <w:szCs w:val="22"/>
          <w:shd w:val="clear" w:color="auto" w:fill="FFFFFF"/>
        </w:rPr>
        <w:t xml:space="preserve">Danes je svetovni dan varčevanja namenjen promociji varčevanja po vsem svetu in ozaveščanju javnosti o pomembnosti varčevanja za sodobna gospodarstva in za posameznike. </w:t>
      </w:r>
    </w:p>
    <w:p w14:paraId="74BC7FA6" w14:textId="6B0444D9" w:rsidR="00ED3A58" w:rsidRPr="00B479AB" w:rsidRDefault="00ED3A58" w:rsidP="00B479AB">
      <w:pPr>
        <w:pStyle w:val="NormalWeb"/>
        <w:jc w:val="both"/>
        <w:rPr>
          <w:rFonts w:ascii="Tahoma" w:hAnsi="Tahoma" w:cs="Tahoma"/>
          <w:sz w:val="22"/>
          <w:szCs w:val="22"/>
        </w:rPr>
      </w:pPr>
      <w:r w:rsidRPr="00B479AB">
        <w:rPr>
          <w:rFonts w:ascii="Tahoma" w:hAnsi="Tahoma" w:cs="Tahoma"/>
          <w:color w:val="333333"/>
          <w:sz w:val="22"/>
          <w:szCs w:val="22"/>
          <w:shd w:val="clear" w:color="auto" w:fill="FFFFFF"/>
        </w:rPr>
        <w:t>Varčevanje gospodinjstev predstavlja tisti del razpoložljivega dohodka gospodinjstev, ki ga ta ne porabijo za nakup trajnih in potrošnih dobrin ter storitev, temveč ga privarčujejo. Prihranki gospodinjstev so torej enaki razpoložljivemu dohodku gospodinjstev, zmanjšanemu za končno potrošnjo.</w:t>
      </w:r>
      <w:r w:rsidRPr="00B479AB">
        <w:rPr>
          <w:rFonts w:ascii="Tahoma" w:hAnsi="Tahoma" w:cs="Tahoma"/>
          <w:color w:val="333333"/>
          <w:sz w:val="22"/>
          <w:szCs w:val="22"/>
        </w:rPr>
        <w:br/>
      </w:r>
      <w:r w:rsidRPr="00B479AB">
        <w:rPr>
          <w:rFonts w:ascii="Tahoma" w:hAnsi="Tahoma" w:cs="Tahoma"/>
          <w:color w:val="333333"/>
          <w:sz w:val="22"/>
          <w:szCs w:val="22"/>
        </w:rPr>
        <w:br/>
      </w:r>
      <w:r w:rsidRPr="00B479AB">
        <w:rPr>
          <w:rFonts w:ascii="Tahoma" w:hAnsi="Tahoma" w:cs="Tahoma"/>
          <w:color w:val="333333"/>
          <w:sz w:val="22"/>
          <w:szCs w:val="22"/>
          <w:shd w:val="clear" w:color="auto" w:fill="FFFFFF"/>
        </w:rPr>
        <w:t>Med najpomembnejše motive varčevanja gospodinjstev v državah evrskega območja sodijo po ugotovitvah </w:t>
      </w:r>
      <w:r w:rsidRPr="00AB3729">
        <w:rPr>
          <w:rFonts w:ascii="Tahoma" w:hAnsi="Tahoma" w:cs="Tahoma"/>
          <w:sz w:val="22"/>
          <w:szCs w:val="22"/>
          <w:shd w:val="clear" w:color="auto" w:fill="FFFFFF"/>
        </w:rPr>
        <w:t>Evropske centralne banke</w:t>
      </w:r>
      <w:r w:rsidRPr="00B479AB">
        <w:rPr>
          <w:rFonts w:ascii="Tahoma" w:hAnsi="Tahoma" w:cs="Tahoma"/>
          <w:color w:val="333333"/>
          <w:sz w:val="22"/>
          <w:szCs w:val="22"/>
          <w:shd w:val="clear" w:color="auto" w:fill="FFFFFF"/>
        </w:rPr>
        <w:t>: zagotavljanje sredstev za nepričakovane dogodke (kot je bil npr. izbruh pandemije), zagotavljanje dohodka ob upokojitvi, zagotavljanje sredstev za večje nakupe (npr. za dodatna stanovanja, pohištvo, vozila) ter varčevanje za potovanja (dopust), izobraževanja in finančno podporo otrokom ali vnukom.   </w:t>
      </w:r>
    </w:p>
    <w:p w14:paraId="64D1B150" w14:textId="77777777" w:rsidR="00B479AB" w:rsidRDefault="00082DB3" w:rsidP="00B479AB">
      <w:pPr>
        <w:pStyle w:val="NormalWeb"/>
        <w:shd w:val="clear" w:color="auto" w:fill="FFFFFF"/>
        <w:spacing w:before="0" w:beforeAutospacing="0" w:after="150" w:afterAutospacing="0"/>
        <w:jc w:val="both"/>
        <w:rPr>
          <w:rFonts w:ascii="Tahoma" w:hAnsi="Tahoma" w:cs="Tahoma"/>
          <w:color w:val="333333"/>
          <w:sz w:val="22"/>
          <w:szCs w:val="22"/>
        </w:rPr>
      </w:pPr>
      <w:r w:rsidRPr="00B479AB">
        <w:rPr>
          <w:rFonts w:ascii="Tahoma" w:hAnsi="Tahoma" w:cs="Tahoma"/>
          <w:color w:val="333333"/>
          <w:sz w:val="22"/>
          <w:szCs w:val="22"/>
        </w:rPr>
        <w:t>Stopnja varčevanja gospodinjstev v Sloveniji (delež bruto varčevanja v bruto razpoložljivem dohodku) je bila v letu 2020 rekordno visoka, 22,6-odstotna (dolgoročno povprečje od leta 2008 do 2020 znaša 13,4 %). </w:t>
      </w:r>
    </w:p>
    <w:p w14:paraId="4D454031" w14:textId="2B443B57" w:rsidR="00ED3A58" w:rsidRPr="00B479AB" w:rsidRDefault="00082DB3" w:rsidP="00B479AB">
      <w:pPr>
        <w:pStyle w:val="NormalWeb"/>
        <w:shd w:val="clear" w:color="auto" w:fill="FFFFFF"/>
        <w:spacing w:before="0" w:beforeAutospacing="0" w:after="150" w:afterAutospacing="0"/>
        <w:jc w:val="both"/>
        <w:rPr>
          <w:rFonts w:ascii="Tahoma" w:hAnsi="Tahoma" w:cs="Tahoma"/>
          <w:sz w:val="22"/>
          <w:szCs w:val="22"/>
        </w:rPr>
      </w:pPr>
      <w:r w:rsidRPr="00B479AB">
        <w:rPr>
          <w:rFonts w:ascii="Tahoma" w:hAnsi="Tahoma" w:cs="Tahoma"/>
          <w:color w:val="333333"/>
          <w:sz w:val="22"/>
          <w:szCs w:val="22"/>
        </w:rPr>
        <w:lastRenderedPageBreak/>
        <w:br/>
        <w:t>Po podatkih Eurostata so v letu 2020 imeli najvišjo stopnjo varčevanja Nizozemci (24-odstotno), najnižjo Slovaki (10,9-odstotno). Gospodinjstva v Sloveniji so se z 22,6-odstotno stopnjo bruto varčevanja med opazovanimi evropskimi državami uvrstila na tretje mesto, hkrati pa tudi nad povprečje v evrskem območju (19,5 %) in v Evropski uniji (18,7 %).</w:t>
      </w:r>
      <w:r w:rsidRPr="00B479AB">
        <w:rPr>
          <w:rFonts w:ascii="Tahoma" w:hAnsi="Tahoma" w:cs="Tahoma"/>
          <w:color w:val="333333"/>
          <w:sz w:val="22"/>
          <w:szCs w:val="22"/>
        </w:rPr>
        <w:br/>
      </w:r>
      <w:r w:rsidRPr="00B479AB">
        <w:rPr>
          <w:rFonts w:ascii="Tahoma" w:hAnsi="Tahoma" w:cs="Tahoma"/>
          <w:noProof/>
          <w:sz w:val="22"/>
          <w:szCs w:val="22"/>
        </w:rPr>
        <w:drawing>
          <wp:inline distT="0" distB="0" distL="0" distR="0" wp14:anchorId="15CF97FC" wp14:editId="12FAC1EE">
            <wp:extent cx="5895975" cy="3232229"/>
            <wp:effectExtent l="0" t="0" r="0" b="635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rotWithShape="1">
                    <a:blip r:embed="rId14"/>
                    <a:srcRect l="4629" t="28806" r="35350" b="12699"/>
                    <a:stretch/>
                  </pic:blipFill>
                  <pic:spPr bwMode="auto">
                    <a:xfrm>
                      <a:off x="0" y="0"/>
                      <a:ext cx="5925122" cy="3248207"/>
                    </a:xfrm>
                    <a:prstGeom prst="rect">
                      <a:avLst/>
                    </a:prstGeom>
                    <a:ln>
                      <a:noFill/>
                    </a:ln>
                    <a:extLst>
                      <a:ext uri="{53640926-AAD7-44D8-BBD7-CCE9431645EC}">
                        <a14:shadowObscured xmlns:a14="http://schemas.microsoft.com/office/drawing/2010/main"/>
                      </a:ext>
                    </a:extLst>
                  </pic:spPr>
                </pic:pic>
              </a:graphicData>
            </a:graphic>
          </wp:inline>
        </w:drawing>
      </w:r>
    </w:p>
    <w:p w14:paraId="218DB056" w14:textId="581D0FE0" w:rsidR="00082DB3" w:rsidRDefault="00082DB3" w:rsidP="00AB3729">
      <w:pPr>
        <w:pStyle w:val="NormalWeb"/>
        <w:shd w:val="clear" w:color="auto" w:fill="FFFFFF"/>
        <w:spacing w:before="0" w:beforeAutospacing="0" w:after="150" w:afterAutospacing="0"/>
        <w:rPr>
          <w:noProof/>
        </w:rPr>
      </w:pPr>
      <w:r w:rsidRPr="00B479AB">
        <w:rPr>
          <w:rFonts w:ascii="Tahoma" w:hAnsi="Tahoma" w:cs="Tahoma"/>
          <w:b/>
          <w:bCs/>
          <w:color w:val="333333"/>
          <w:sz w:val="22"/>
          <w:szCs w:val="22"/>
        </w:rPr>
        <w:t>Slovenska gospodinjstva so v letu 2020 svoja privarčevana sredstva usmerila predvsem v vpogledne vloge</w:t>
      </w:r>
      <w:r w:rsidRPr="00B479AB">
        <w:rPr>
          <w:rFonts w:ascii="Tahoma" w:hAnsi="Tahoma" w:cs="Tahoma"/>
          <w:color w:val="333333"/>
          <w:sz w:val="22"/>
          <w:szCs w:val="22"/>
        </w:rPr>
        <w:br/>
      </w:r>
      <w:r w:rsidRPr="00B479AB">
        <w:rPr>
          <w:rFonts w:ascii="Tahoma" w:hAnsi="Tahoma" w:cs="Tahoma"/>
          <w:color w:val="333333"/>
          <w:sz w:val="22"/>
          <w:szCs w:val="22"/>
        </w:rPr>
        <w:br/>
        <w:t>Vrednost neto finančnega premoženja  gospodinjstev v Sloveniji (tj. vrednost razlike med sredstvi in obveznostmi) je bila ob koncu leta 2020 najvišja doslej, znašala je 48,2 milijarde EUR ali 102,8 % BDP. V primerjavi z letom 2019 se je povečala za 12 % ali za 5,2 milijarde EUR. </w:t>
      </w:r>
      <w:r w:rsidRPr="00B479AB">
        <w:rPr>
          <w:rFonts w:ascii="Tahoma" w:hAnsi="Tahoma" w:cs="Tahoma"/>
          <w:color w:val="333333"/>
          <w:sz w:val="22"/>
          <w:szCs w:val="22"/>
        </w:rPr>
        <w:br/>
      </w:r>
      <w:r w:rsidRPr="00B479AB">
        <w:rPr>
          <w:rFonts w:ascii="Tahoma" w:hAnsi="Tahoma" w:cs="Tahoma"/>
          <w:color w:val="333333"/>
          <w:sz w:val="22"/>
          <w:szCs w:val="22"/>
        </w:rPr>
        <w:br/>
        <w:t>Finančna sredstva gospodinjstev (gotovina in vloge, delnice in drugo) so konec leta 2020 znašala 63 milijard EUR ali 134,3 % BDP. V primerjavi z letom 2019 so se zaradi izrazitega varčevanja gospodinjstev povečala za 9 % ali za 5,2 milijarde EUR. K temu povečanju so med drugim zaradi okrnjene možnosti trošenja v obdobju pandemije največ prispevale vpogledne vloge. Te so se glede na leto 2019 povečale za rekordnih 2,7 milijarde EUR in so ob koncu leta 2020 znašale 19 milijard EUR ali  30 % vseh finančnih sredstev (40,4 % BDP). K rasti finančnih sredstev so opazneje prispevale tudi gotovina (1,2 milijarde EUR), delnice in drugi lastniški kapital (1,1 milijarde EUR) ter zavarovanja in pokojninske sheme (0,3 milijarde EUR). </w:t>
      </w:r>
      <w:r w:rsidRPr="00B479AB">
        <w:rPr>
          <w:rFonts w:ascii="Tahoma" w:hAnsi="Tahoma" w:cs="Tahoma"/>
          <w:color w:val="333333"/>
          <w:sz w:val="22"/>
          <w:szCs w:val="22"/>
        </w:rPr>
        <w:br/>
      </w:r>
      <w:r w:rsidRPr="00B479AB">
        <w:rPr>
          <w:rFonts w:ascii="Tahoma" w:hAnsi="Tahoma" w:cs="Tahoma"/>
          <w:color w:val="333333"/>
          <w:sz w:val="22"/>
          <w:szCs w:val="22"/>
        </w:rPr>
        <w:br/>
        <w:t>Struktura finančnih sredstev slovenskih gospodinjstev se v obdobju pandemije covida-19 v primerjavi s preteklimi leti ni bistveno spremenila. Najvišji delež so v letu 2020 še vedno predstavljale vloge (zlasti vpogledne vloge) in gotovina (49,3 %), sledile so delnice in drug lastniški kapital (29,9 %), zavarovanja in pokojninske sheme (13,1 %), dolžniški vrednostni papirji in druge terjatve (5,6 %) ter posojila (2,2 %). </w:t>
      </w:r>
      <w:r w:rsidRPr="00B479AB">
        <w:rPr>
          <w:rFonts w:ascii="Tahoma" w:hAnsi="Tahoma" w:cs="Tahoma"/>
          <w:color w:val="333333"/>
          <w:sz w:val="22"/>
          <w:szCs w:val="22"/>
        </w:rPr>
        <w:br/>
      </w:r>
      <w:r w:rsidRPr="00B479AB">
        <w:rPr>
          <w:rFonts w:ascii="Tahoma" w:hAnsi="Tahoma" w:cs="Tahoma"/>
          <w:color w:val="333333"/>
          <w:sz w:val="22"/>
          <w:szCs w:val="22"/>
        </w:rPr>
        <w:br/>
        <w:t xml:space="preserve">Taka struktura finančnih sredstev razkriva, da gospodinjstva v Sloveniji ostajajo pri izbiri </w:t>
      </w:r>
      <w:r w:rsidRPr="00B479AB">
        <w:rPr>
          <w:rFonts w:ascii="Tahoma" w:hAnsi="Tahoma" w:cs="Tahoma"/>
          <w:color w:val="333333"/>
          <w:sz w:val="22"/>
          <w:szCs w:val="22"/>
        </w:rPr>
        <w:lastRenderedPageBreak/>
        <w:t>oblike varčevanja konservativna in nenaklonjena tveganju, saj varna in likvidna sredstva, kakršna so gotovina in vloge, še vedno sestavljajo skoraj polovico njihovega finančnega premoženja. Deleži bolj tveganih naložb, kot so na primer investicijski skladi, vrednostni papirji in izvedeni finančni instrumenti, pa ostajajo razmeroma nizki.</w:t>
      </w:r>
    </w:p>
    <w:p w14:paraId="2EAA4979" w14:textId="7950667F" w:rsidR="00082DB3" w:rsidRDefault="00082DB3" w:rsidP="00082DB3">
      <w:pPr>
        <w:jc w:val="both"/>
        <w:rPr>
          <w:rFonts w:ascii="Tahoma" w:hAnsi="Tahoma" w:cs="Tahoma"/>
        </w:rPr>
      </w:pPr>
      <w:r>
        <w:rPr>
          <w:noProof/>
        </w:rPr>
        <w:drawing>
          <wp:inline distT="0" distB="0" distL="0" distR="0" wp14:anchorId="6F80559F" wp14:editId="76344576">
            <wp:extent cx="5735501" cy="3352800"/>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rotWithShape="1">
                    <a:blip r:embed="rId15"/>
                    <a:srcRect l="3968" t="22928" r="40311" b="19165"/>
                    <a:stretch/>
                  </pic:blipFill>
                  <pic:spPr bwMode="auto">
                    <a:xfrm>
                      <a:off x="0" y="0"/>
                      <a:ext cx="5758780" cy="3366408"/>
                    </a:xfrm>
                    <a:prstGeom prst="rect">
                      <a:avLst/>
                    </a:prstGeom>
                    <a:ln>
                      <a:noFill/>
                    </a:ln>
                    <a:extLst>
                      <a:ext uri="{53640926-AAD7-44D8-BBD7-CCE9431645EC}">
                        <a14:shadowObscured xmlns:a14="http://schemas.microsoft.com/office/drawing/2010/main"/>
                      </a:ext>
                    </a:extLst>
                  </pic:spPr>
                </pic:pic>
              </a:graphicData>
            </a:graphic>
          </wp:inline>
        </w:drawing>
      </w:r>
    </w:p>
    <w:p w14:paraId="1C791F55" w14:textId="6DB3C9D5" w:rsidR="00082DB3" w:rsidRDefault="00082DB3" w:rsidP="00082DB3">
      <w:pPr>
        <w:jc w:val="both"/>
        <w:rPr>
          <w:rFonts w:ascii="Tahoma" w:hAnsi="Tahoma" w:cs="Tahoma"/>
        </w:rPr>
      </w:pPr>
    </w:p>
    <w:p w14:paraId="2552D4EF" w14:textId="23281499" w:rsidR="00082DB3" w:rsidRDefault="00082DB3" w:rsidP="00082DB3">
      <w:pPr>
        <w:jc w:val="both"/>
        <w:rPr>
          <w:rFonts w:ascii="Tahoma" w:hAnsi="Tahoma" w:cs="Tahoma"/>
        </w:rPr>
      </w:pPr>
      <w:r>
        <w:rPr>
          <w:rFonts w:ascii="Tahoma" w:hAnsi="Tahoma" w:cs="Tahoma"/>
        </w:rPr>
        <w:t>Vir</w:t>
      </w:r>
      <w:r w:rsidR="00B479AB">
        <w:rPr>
          <w:rFonts w:ascii="Tahoma" w:hAnsi="Tahoma" w:cs="Tahoma"/>
        </w:rPr>
        <w:t>a</w:t>
      </w:r>
      <w:r>
        <w:rPr>
          <w:rFonts w:ascii="Tahoma" w:hAnsi="Tahoma" w:cs="Tahoma"/>
        </w:rPr>
        <w:t xml:space="preserve">: </w:t>
      </w:r>
    </w:p>
    <w:p w14:paraId="53AAE894" w14:textId="67C56D9C" w:rsidR="00B479AB" w:rsidRDefault="00AB3729" w:rsidP="00B479AB">
      <w:pPr>
        <w:pStyle w:val="ListParagraph"/>
        <w:numPr>
          <w:ilvl w:val="0"/>
          <w:numId w:val="36"/>
        </w:numPr>
        <w:jc w:val="both"/>
        <w:rPr>
          <w:rFonts w:ascii="Tahoma" w:hAnsi="Tahoma" w:cs="Tahoma"/>
        </w:rPr>
      </w:pPr>
      <w:hyperlink r:id="rId16" w:history="1">
        <w:r w:rsidR="00B479AB" w:rsidRPr="00AB3729">
          <w:rPr>
            <w:rStyle w:val="Hyperlink"/>
            <w:rFonts w:ascii="Tahoma" w:hAnsi="Tahoma" w:cs="Tahoma"/>
          </w:rPr>
          <w:t>Statistični urad RS</w:t>
        </w:r>
      </w:hyperlink>
    </w:p>
    <w:p w14:paraId="182EE875" w14:textId="727F29DF" w:rsidR="00B479AB" w:rsidRPr="00B479AB" w:rsidRDefault="00B479AB" w:rsidP="00B479AB">
      <w:pPr>
        <w:pStyle w:val="ListParagraph"/>
        <w:numPr>
          <w:ilvl w:val="0"/>
          <w:numId w:val="36"/>
        </w:numPr>
        <w:jc w:val="both"/>
        <w:rPr>
          <w:rFonts w:ascii="Tahoma" w:hAnsi="Tahoma" w:cs="Tahoma"/>
        </w:rPr>
      </w:pPr>
      <w:r>
        <w:rPr>
          <w:rFonts w:ascii="Tahoma" w:hAnsi="Tahoma" w:cs="Tahoma"/>
        </w:rPr>
        <w:t>Banka Slovenije</w:t>
      </w:r>
    </w:p>
    <w:sectPr w:rsidR="00B479AB" w:rsidRPr="00B479AB" w:rsidSect="00147AC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E820" w14:textId="77777777" w:rsidR="00C77372" w:rsidRDefault="00C77372" w:rsidP="008A60E7">
      <w:r>
        <w:separator/>
      </w:r>
    </w:p>
  </w:endnote>
  <w:endnote w:type="continuationSeparator" w:id="0">
    <w:p w14:paraId="555B86C6" w14:textId="77777777" w:rsidR="00C77372" w:rsidRDefault="00C77372"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1DF8E16C" w:rsidR="008A60E7" w:rsidRPr="0099395B" w:rsidRDefault="00AB3729"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00CD" w14:textId="77777777" w:rsidR="00C77372" w:rsidRDefault="00C77372" w:rsidP="008A60E7">
      <w:r>
        <w:separator/>
      </w:r>
    </w:p>
  </w:footnote>
  <w:footnote w:type="continuationSeparator" w:id="0">
    <w:p w14:paraId="3610F6BD" w14:textId="77777777" w:rsidR="00C77372" w:rsidRDefault="00C77372" w:rsidP="008A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755"/>
    <w:multiLevelType w:val="hybridMultilevel"/>
    <w:tmpl w:val="314A3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481560"/>
    <w:multiLevelType w:val="hybridMultilevel"/>
    <w:tmpl w:val="355684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586EE0"/>
    <w:multiLevelType w:val="hybridMultilevel"/>
    <w:tmpl w:val="1004AEE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F60948"/>
    <w:multiLevelType w:val="multilevel"/>
    <w:tmpl w:val="A410A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35D7A"/>
    <w:multiLevelType w:val="hybridMultilevel"/>
    <w:tmpl w:val="ACB8A3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675DD3"/>
    <w:multiLevelType w:val="hybridMultilevel"/>
    <w:tmpl w:val="C0249F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6557B37"/>
    <w:multiLevelType w:val="multilevel"/>
    <w:tmpl w:val="9CB09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0E3FD6"/>
    <w:multiLevelType w:val="hybridMultilevel"/>
    <w:tmpl w:val="903277D4"/>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8" w15:restartNumberingAfterBreak="0">
    <w:nsid w:val="1B331A70"/>
    <w:multiLevelType w:val="multilevel"/>
    <w:tmpl w:val="C4600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F5BF9"/>
    <w:multiLevelType w:val="hybridMultilevel"/>
    <w:tmpl w:val="52B6A9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1E3B00BB"/>
    <w:multiLevelType w:val="hybridMultilevel"/>
    <w:tmpl w:val="5DF4B0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DC39E0"/>
    <w:multiLevelType w:val="hybridMultilevel"/>
    <w:tmpl w:val="E3E8DB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08130D"/>
    <w:multiLevelType w:val="hybridMultilevel"/>
    <w:tmpl w:val="96A2284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800396A"/>
    <w:multiLevelType w:val="hybridMultilevel"/>
    <w:tmpl w:val="C51C493C"/>
    <w:lvl w:ilvl="0" w:tplc="7206EE90">
      <w:numFmt w:val="bullet"/>
      <w:lvlText w:val="-"/>
      <w:lvlJc w:val="left"/>
      <w:pPr>
        <w:ind w:left="405" w:hanging="360"/>
      </w:pPr>
      <w:rPr>
        <w:rFonts w:ascii="Calibri" w:eastAsia="Calibri" w:hAnsi="Calibri" w:cs="Calibri"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14" w15:restartNumberingAfterBreak="0">
    <w:nsid w:val="2DCD41CF"/>
    <w:multiLevelType w:val="hybridMultilevel"/>
    <w:tmpl w:val="4F62ED00"/>
    <w:lvl w:ilvl="0" w:tplc="EB56FA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6629CD"/>
    <w:multiLevelType w:val="hybridMultilevel"/>
    <w:tmpl w:val="9140CA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FDA7E34"/>
    <w:multiLevelType w:val="hybridMultilevel"/>
    <w:tmpl w:val="F9909230"/>
    <w:lvl w:ilvl="0" w:tplc="20000001">
      <w:start w:val="1"/>
      <w:numFmt w:val="bullet"/>
      <w:lvlText w:val=""/>
      <w:lvlJc w:val="left"/>
      <w:pPr>
        <w:ind w:left="360" w:hanging="360"/>
      </w:pPr>
      <w:rPr>
        <w:rFonts w:ascii="Symbol" w:hAnsi="Symbol" w:hint="default"/>
      </w:rPr>
    </w:lvl>
    <w:lvl w:ilvl="1" w:tplc="E26CCE34">
      <w:numFmt w:val="bullet"/>
      <w:lvlText w:val="-"/>
      <w:lvlJc w:val="left"/>
      <w:pPr>
        <w:ind w:left="1425" w:hanging="705"/>
      </w:pPr>
      <w:rPr>
        <w:rFonts w:ascii="Calibri" w:eastAsiaTheme="minorHAnsi" w:hAnsi="Calibri" w:cs="Calibri"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30220D4"/>
    <w:multiLevelType w:val="hybridMultilevel"/>
    <w:tmpl w:val="8EAA79B6"/>
    <w:lvl w:ilvl="0" w:tplc="3A46D86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C86121"/>
    <w:multiLevelType w:val="hybridMultilevel"/>
    <w:tmpl w:val="444EB502"/>
    <w:lvl w:ilvl="0" w:tplc="0409000F">
      <w:start w:val="1"/>
      <w:numFmt w:val="decimal"/>
      <w:lvlText w:val="%1."/>
      <w:lvlJc w:val="left"/>
      <w:pPr>
        <w:tabs>
          <w:tab w:val="num" w:pos="720"/>
        </w:tabs>
        <w:ind w:left="720" w:hanging="360"/>
      </w:pPr>
    </w:lvl>
    <w:lvl w:ilvl="1" w:tplc="835E525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D35E4F"/>
    <w:multiLevelType w:val="hybridMultilevel"/>
    <w:tmpl w:val="54DCDE2C"/>
    <w:lvl w:ilvl="0" w:tplc="9A02AAF6">
      <w:start w:val="2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D4C6F51"/>
    <w:multiLevelType w:val="hybridMultilevel"/>
    <w:tmpl w:val="5DF4E7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5E86785E"/>
    <w:multiLevelType w:val="hybridMultilevel"/>
    <w:tmpl w:val="9722741E"/>
    <w:lvl w:ilvl="0" w:tplc="04240001">
      <w:start w:val="1"/>
      <w:numFmt w:val="bullet"/>
      <w:lvlText w:val=""/>
      <w:lvlJc w:val="left"/>
      <w:pPr>
        <w:ind w:left="720" w:hanging="360"/>
      </w:pPr>
      <w:rPr>
        <w:rFonts w:ascii="Symbol" w:hAnsi="Symbol" w:hint="default"/>
      </w:rPr>
    </w:lvl>
    <w:lvl w:ilvl="1" w:tplc="273CB666">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5E6134"/>
    <w:multiLevelType w:val="hybridMultilevel"/>
    <w:tmpl w:val="D41E0CF2"/>
    <w:lvl w:ilvl="0" w:tplc="90FEFE2E">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3" w15:restartNumberingAfterBreak="0">
    <w:nsid w:val="677C530B"/>
    <w:multiLevelType w:val="hybridMultilevel"/>
    <w:tmpl w:val="1AF81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2E0738"/>
    <w:multiLevelType w:val="hybridMultilevel"/>
    <w:tmpl w:val="547EE9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BB73F3"/>
    <w:multiLevelType w:val="hybridMultilevel"/>
    <w:tmpl w:val="F24E21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E76906"/>
    <w:multiLevelType w:val="hybridMultilevel"/>
    <w:tmpl w:val="102CE61E"/>
    <w:lvl w:ilvl="0" w:tplc="AF8AD702">
      <w:start w:val="1"/>
      <w:numFmt w:val="decimal"/>
      <w:lvlText w:val="%1."/>
      <w:lvlJc w:val="left"/>
      <w:pPr>
        <w:ind w:left="720" w:hanging="360"/>
      </w:pPr>
      <w:rPr>
        <w:rFonts w:ascii="Calibri" w:hAnsi="Calibr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DB50E9B"/>
    <w:multiLevelType w:val="hybridMultilevel"/>
    <w:tmpl w:val="CFCA1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2A17DB"/>
    <w:multiLevelType w:val="hybridMultilevel"/>
    <w:tmpl w:val="A17485F6"/>
    <w:lvl w:ilvl="0" w:tplc="3D147464">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E841746"/>
    <w:multiLevelType w:val="multilevel"/>
    <w:tmpl w:val="0CFCA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806E6"/>
    <w:multiLevelType w:val="hybridMultilevel"/>
    <w:tmpl w:val="753869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5DF4B2D"/>
    <w:multiLevelType w:val="hybridMultilevel"/>
    <w:tmpl w:val="838E4A1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2" w15:restartNumberingAfterBreak="0">
    <w:nsid w:val="761C5824"/>
    <w:multiLevelType w:val="hybridMultilevel"/>
    <w:tmpl w:val="937A47B2"/>
    <w:lvl w:ilvl="0" w:tplc="6204A05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7245FE6"/>
    <w:multiLevelType w:val="hybridMultilevel"/>
    <w:tmpl w:val="B750EB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77281C05"/>
    <w:multiLevelType w:val="hybridMultilevel"/>
    <w:tmpl w:val="50203778"/>
    <w:lvl w:ilvl="0" w:tplc="0424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5" w15:restartNumberingAfterBreak="0">
    <w:nsid w:val="7D8533C4"/>
    <w:multiLevelType w:val="hybridMultilevel"/>
    <w:tmpl w:val="9FDEA54E"/>
    <w:lvl w:ilvl="0" w:tplc="A6E8B448">
      <w:start w:val="2"/>
      <w:numFmt w:val="bullet"/>
      <w:lvlText w:val="-"/>
      <w:lvlJc w:val="left"/>
      <w:pPr>
        <w:ind w:left="720" w:hanging="360"/>
      </w:pPr>
      <w:rPr>
        <w:rFonts w:ascii="Arial" w:eastAsia="MS Mincho" w:hAnsi="Arial" w:cs="Arial" w:hint="default"/>
      </w:rPr>
    </w:lvl>
    <w:lvl w:ilvl="1" w:tplc="587AB844">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4280352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890889">
    <w:abstractNumId w:val="21"/>
  </w:num>
  <w:num w:numId="3" w16cid:durableId="308483060">
    <w:abstractNumId w:val="10"/>
  </w:num>
  <w:num w:numId="4" w16cid:durableId="111091425">
    <w:abstractNumId w:val="19"/>
  </w:num>
  <w:num w:numId="5" w16cid:durableId="1966545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3606251">
    <w:abstractNumId w:val="28"/>
  </w:num>
  <w:num w:numId="7" w16cid:durableId="198399791">
    <w:abstractNumId w:val="17"/>
  </w:num>
  <w:num w:numId="8" w16cid:durableId="1633630854">
    <w:abstractNumId w:val="15"/>
  </w:num>
  <w:num w:numId="9" w16cid:durableId="241380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5482908">
    <w:abstractNumId w:val="27"/>
  </w:num>
  <w:num w:numId="11" w16cid:durableId="146672477">
    <w:abstractNumId w:val="1"/>
  </w:num>
  <w:num w:numId="12" w16cid:durableId="1347901637">
    <w:abstractNumId w:val="12"/>
  </w:num>
  <w:num w:numId="13" w16cid:durableId="2017687968">
    <w:abstractNumId w:val="31"/>
  </w:num>
  <w:num w:numId="14" w16cid:durableId="149101301">
    <w:abstractNumId w:val="4"/>
  </w:num>
  <w:num w:numId="15" w16cid:durableId="408162515">
    <w:abstractNumId w:val="14"/>
  </w:num>
  <w:num w:numId="16" w16cid:durableId="16006456">
    <w:abstractNumId w:val="2"/>
  </w:num>
  <w:num w:numId="17" w16cid:durableId="689378313">
    <w:abstractNumId w:val="13"/>
  </w:num>
  <w:num w:numId="18" w16cid:durableId="166210723">
    <w:abstractNumId w:val="0"/>
  </w:num>
  <w:num w:numId="19" w16cid:durableId="1135874595">
    <w:abstractNumId w:val="3"/>
  </w:num>
  <w:num w:numId="20" w16cid:durableId="891502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5415179">
    <w:abstractNumId w:val="11"/>
  </w:num>
  <w:num w:numId="22" w16cid:durableId="1531796650">
    <w:abstractNumId w:val="29"/>
  </w:num>
  <w:num w:numId="23" w16cid:durableId="1619485730">
    <w:abstractNumId w:val="5"/>
  </w:num>
  <w:num w:numId="24" w16cid:durableId="2133860849">
    <w:abstractNumId w:val="26"/>
  </w:num>
  <w:num w:numId="25" w16cid:durableId="472412741">
    <w:abstractNumId w:val="16"/>
  </w:num>
  <w:num w:numId="26" w16cid:durableId="1406144919">
    <w:abstractNumId w:val="33"/>
  </w:num>
  <w:num w:numId="27" w16cid:durableId="484518470">
    <w:abstractNumId w:val="35"/>
  </w:num>
  <w:num w:numId="28" w16cid:durableId="1182745376">
    <w:abstractNumId w:val="24"/>
  </w:num>
  <w:num w:numId="29" w16cid:durableId="1780831579">
    <w:abstractNumId w:val="30"/>
  </w:num>
  <w:num w:numId="30" w16cid:durableId="183058774">
    <w:abstractNumId w:val="32"/>
  </w:num>
  <w:num w:numId="31" w16cid:durableId="97911030">
    <w:abstractNumId w:val="7"/>
  </w:num>
  <w:num w:numId="32" w16cid:durableId="932588489">
    <w:abstractNumId w:val="22"/>
  </w:num>
  <w:num w:numId="33" w16cid:durableId="325090620">
    <w:abstractNumId w:val="34"/>
  </w:num>
  <w:num w:numId="34" w16cid:durableId="932589981">
    <w:abstractNumId w:val="25"/>
  </w:num>
  <w:num w:numId="35" w16cid:durableId="1558780404">
    <w:abstractNumId w:val="8"/>
  </w:num>
  <w:num w:numId="36" w16cid:durableId="17434805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BD4"/>
    <w:rsid w:val="00010A7F"/>
    <w:rsid w:val="00020FEC"/>
    <w:rsid w:val="00022B34"/>
    <w:rsid w:val="000409A2"/>
    <w:rsid w:val="00053111"/>
    <w:rsid w:val="00061400"/>
    <w:rsid w:val="000732E6"/>
    <w:rsid w:val="00075CE5"/>
    <w:rsid w:val="00080366"/>
    <w:rsid w:val="00081593"/>
    <w:rsid w:val="00082DB3"/>
    <w:rsid w:val="000831B9"/>
    <w:rsid w:val="00092D28"/>
    <w:rsid w:val="00094C5E"/>
    <w:rsid w:val="000A04E5"/>
    <w:rsid w:val="000A157D"/>
    <w:rsid w:val="000B68DF"/>
    <w:rsid w:val="000C0C96"/>
    <w:rsid w:val="000C6432"/>
    <w:rsid w:val="000C79D6"/>
    <w:rsid w:val="000D47F7"/>
    <w:rsid w:val="000D72A9"/>
    <w:rsid w:val="000E216D"/>
    <w:rsid w:val="000F3581"/>
    <w:rsid w:val="00111A60"/>
    <w:rsid w:val="00111E17"/>
    <w:rsid w:val="001168CA"/>
    <w:rsid w:val="00116C60"/>
    <w:rsid w:val="00120E78"/>
    <w:rsid w:val="00125516"/>
    <w:rsid w:val="00125F3E"/>
    <w:rsid w:val="001312C9"/>
    <w:rsid w:val="001407F3"/>
    <w:rsid w:val="00143DC0"/>
    <w:rsid w:val="00147AC9"/>
    <w:rsid w:val="00155E5B"/>
    <w:rsid w:val="0016329F"/>
    <w:rsid w:val="00163621"/>
    <w:rsid w:val="0017185A"/>
    <w:rsid w:val="00173C93"/>
    <w:rsid w:val="00175151"/>
    <w:rsid w:val="00180D66"/>
    <w:rsid w:val="00184CCC"/>
    <w:rsid w:val="0018594C"/>
    <w:rsid w:val="00191FA1"/>
    <w:rsid w:val="001A26F6"/>
    <w:rsid w:val="001A4406"/>
    <w:rsid w:val="001A7293"/>
    <w:rsid w:val="001B1E19"/>
    <w:rsid w:val="001B43DE"/>
    <w:rsid w:val="001B4B78"/>
    <w:rsid w:val="001C5BA2"/>
    <w:rsid w:val="001C5CC9"/>
    <w:rsid w:val="001D2625"/>
    <w:rsid w:val="001E0A73"/>
    <w:rsid w:val="001F34D9"/>
    <w:rsid w:val="001F3C74"/>
    <w:rsid w:val="002009E7"/>
    <w:rsid w:val="00201F72"/>
    <w:rsid w:val="00214A45"/>
    <w:rsid w:val="00220317"/>
    <w:rsid w:val="00230BEE"/>
    <w:rsid w:val="0023596C"/>
    <w:rsid w:val="00237080"/>
    <w:rsid w:val="002374C2"/>
    <w:rsid w:val="00243C2B"/>
    <w:rsid w:val="00266D0E"/>
    <w:rsid w:val="00270A5E"/>
    <w:rsid w:val="00274661"/>
    <w:rsid w:val="00297139"/>
    <w:rsid w:val="002A7AA4"/>
    <w:rsid w:val="002B01A8"/>
    <w:rsid w:val="002B78EC"/>
    <w:rsid w:val="002C28DF"/>
    <w:rsid w:val="002C56A3"/>
    <w:rsid w:val="002C7E9F"/>
    <w:rsid w:val="002D02F0"/>
    <w:rsid w:val="002D34AF"/>
    <w:rsid w:val="002E3098"/>
    <w:rsid w:val="002F3B6A"/>
    <w:rsid w:val="002F5A29"/>
    <w:rsid w:val="002F6CBD"/>
    <w:rsid w:val="00303D0B"/>
    <w:rsid w:val="00311C0D"/>
    <w:rsid w:val="0031406E"/>
    <w:rsid w:val="003140A8"/>
    <w:rsid w:val="00317914"/>
    <w:rsid w:val="00324382"/>
    <w:rsid w:val="00332549"/>
    <w:rsid w:val="00343076"/>
    <w:rsid w:val="00350E41"/>
    <w:rsid w:val="00351F08"/>
    <w:rsid w:val="00353035"/>
    <w:rsid w:val="00355F5F"/>
    <w:rsid w:val="00363CEE"/>
    <w:rsid w:val="00366C35"/>
    <w:rsid w:val="00371AAC"/>
    <w:rsid w:val="00385A86"/>
    <w:rsid w:val="00397EBD"/>
    <w:rsid w:val="003A332E"/>
    <w:rsid w:val="003B5715"/>
    <w:rsid w:val="003D34EA"/>
    <w:rsid w:val="003E402B"/>
    <w:rsid w:val="003F5BA8"/>
    <w:rsid w:val="003F7C8E"/>
    <w:rsid w:val="00403E84"/>
    <w:rsid w:val="004124CE"/>
    <w:rsid w:val="00417323"/>
    <w:rsid w:val="004314C3"/>
    <w:rsid w:val="00432416"/>
    <w:rsid w:val="0044065B"/>
    <w:rsid w:val="00445480"/>
    <w:rsid w:val="00477854"/>
    <w:rsid w:val="004843D4"/>
    <w:rsid w:val="00492FBB"/>
    <w:rsid w:val="00496105"/>
    <w:rsid w:val="00496F34"/>
    <w:rsid w:val="004A0929"/>
    <w:rsid w:val="004B110B"/>
    <w:rsid w:val="004B1BBB"/>
    <w:rsid w:val="004B7887"/>
    <w:rsid w:val="004C51E6"/>
    <w:rsid w:val="004D2491"/>
    <w:rsid w:val="004D6619"/>
    <w:rsid w:val="005036B8"/>
    <w:rsid w:val="0050514B"/>
    <w:rsid w:val="0051733A"/>
    <w:rsid w:val="00533C36"/>
    <w:rsid w:val="005418A1"/>
    <w:rsid w:val="00552717"/>
    <w:rsid w:val="00556840"/>
    <w:rsid w:val="00557D07"/>
    <w:rsid w:val="005612A6"/>
    <w:rsid w:val="00561DAF"/>
    <w:rsid w:val="005622ED"/>
    <w:rsid w:val="005715CA"/>
    <w:rsid w:val="00576FBD"/>
    <w:rsid w:val="00577B67"/>
    <w:rsid w:val="00581A28"/>
    <w:rsid w:val="00586728"/>
    <w:rsid w:val="00586FB8"/>
    <w:rsid w:val="005A51BA"/>
    <w:rsid w:val="005A6747"/>
    <w:rsid w:val="005B3FE4"/>
    <w:rsid w:val="005C250C"/>
    <w:rsid w:val="005D3203"/>
    <w:rsid w:val="005D3C1E"/>
    <w:rsid w:val="005F0703"/>
    <w:rsid w:val="00602EC5"/>
    <w:rsid w:val="00607F3D"/>
    <w:rsid w:val="00611208"/>
    <w:rsid w:val="006120B0"/>
    <w:rsid w:val="00651E97"/>
    <w:rsid w:val="00651EB7"/>
    <w:rsid w:val="00664641"/>
    <w:rsid w:val="00672B35"/>
    <w:rsid w:val="006734EB"/>
    <w:rsid w:val="00683F05"/>
    <w:rsid w:val="00685AEC"/>
    <w:rsid w:val="00687FBE"/>
    <w:rsid w:val="006A0AFB"/>
    <w:rsid w:val="006A7552"/>
    <w:rsid w:val="006B583A"/>
    <w:rsid w:val="006B68E7"/>
    <w:rsid w:val="006C7178"/>
    <w:rsid w:val="006D6444"/>
    <w:rsid w:val="006E2B26"/>
    <w:rsid w:val="00700D73"/>
    <w:rsid w:val="00717C13"/>
    <w:rsid w:val="00730F03"/>
    <w:rsid w:val="007347ED"/>
    <w:rsid w:val="007360A3"/>
    <w:rsid w:val="007467DC"/>
    <w:rsid w:val="007532DC"/>
    <w:rsid w:val="0077410E"/>
    <w:rsid w:val="007830A8"/>
    <w:rsid w:val="00785DB5"/>
    <w:rsid w:val="0079226A"/>
    <w:rsid w:val="007A4B99"/>
    <w:rsid w:val="007C2A07"/>
    <w:rsid w:val="007C4430"/>
    <w:rsid w:val="007C5594"/>
    <w:rsid w:val="007D0C4C"/>
    <w:rsid w:val="007D3B79"/>
    <w:rsid w:val="007D4DA3"/>
    <w:rsid w:val="007E065A"/>
    <w:rsid w:val="007F1BC0"/>
    <w:rsid w:val="007F6565"/>
    <w:rsid w:val="00802CAF"/>
    <w:rsid w:val="00805D67"/>
    <w:rsid w:val="0082007F"/>
    <w:rsid w:val="008259C4"/>
    <w:rsid w:val="008279D0"/>
    <w:rsid w:val="0085241A"/>
    <w:rsid w:val="00871185"/>
    <w:rsid w:val="0087582A"/>
    <w:rsid w:val="00883114"/>
    <w:rsid w:val="00892AF0"/>
    <w:rsid w:val="00895DD2"/>
    <w:rsid w:val="00896769"/>
    <w:rsid w:val="008A2882"/>
    <w:rsid w:val="008A60E7"/>
    <w:rsid w:val="008B2316"/>
    <w:rsid w:val="008B6C80"/>
    <w:rsid w:val="008C0CF7"/>
    <w:rsid w:val="008C10FE"/>
    <w:rsid w:val="008D4E5D"/>
    <w:rsid w:val="008E07F0"/>
    <w:rsid w:val="008F33AF"/>
    <w:rsid w:val="0091150D"/>
    <w:rsid w:val="009122F7"/>
    <w:rsid w:val="00923125"/>
    <w:rsid w:val="00925734"/>
    <w:rsid w:val="00925D4E"/>
    <w:rsid w:val="00930BA4"/>
    <w:rsid w:val="00934550"/>
    <w:rsid w:val="00934D36"/>
    <w:rsid w:val="00941AE2"/>
    <w:rsid w:val="00941EAB"/>
    <w:rsid w:val="00943047"/>
    <w:rsid w:val="0095691B"/>
    <w:rsid w:val="00956970"/>
    <w:rsid w:val="00966253"/>
    <w:rsid w:val="0097146A"/>
    <w:rsid w:val="00977CDB"/>
    <w:rsid w:val="00980FD5"/>
    <w:rsid w:val="009868B2"/>
    <w:rsid w:val="00991BCE"/>
    <w:rsid w:val="0099395B"/>
    <w:rsid w:val="009B5C66"/>
    <w:rsid w:val="009B7C64"/>
    <w:rsid w:val="009C538B"/>
    <w:rsid w:val="009C76C0"/>
    <w:rsid w:val="009E022D"/>
    <w:rsid w:val="00A03688"/>
    <w:rsid w:val="00A05312"/>
    <w:rsid w:val="00A106EA"/>
    <w:rsid w:val="00A16FF2"/>
    <w:rsid w:val="00A24499"/>
    <w:rsid w:val="00A25FD0"/>
    <w:rsid w:val="00A3274F"/>
    <w:rsid w:val="00A43612"/>
    <w:rsid w:val="00A60103"/>
    <w:rsid w:val="00A65E4C"/>
    <w:rsid w:val="00A67C3B"/>
    <w:rsid w:val="00A71D02"/>
    <w:rsid w:val="00A7483B"/>
    <w:rsid w:val="00A84B51"/>
    <w:rsid w:val="00A86D8D"/>
    <w:rsid w:val="00A906F3"/>
    <w:rsid w:val="00AA1930"/>
    <w:rsid w:val="00AB2D14"/>
    <w:rsid w:val="00AB3729"/>
    <w:rsid w:val="00AB5497"/>
    <w:rsid w:val="00AC4A59"/>
    <w:rsid w:val="00AC7D45"/>
    <w:rsid w:val="00AD084B"/>
    <w:rsid w:val="00AD50C4"/>
    <w:rsid w:val="00AE151F"/>
    <w:rsid w:val="00AE2D3E"/>
    <w:rsid w:val="00AE5708"/>
    <w:rsid w:val="00AF0254"/>
    <w:rsid w:val="00B05435"/>
    <w:rsid w:val="00B05850"/>
    <w:rsid w:val="00B24FAE"/>
    <w:rsid w:val="00B25482"/>
    <w:rsid w:val="00B3120D"/>
    <w:rsid w:val="00B32E3B"/>
    <w:rsid w:val="00B3513E"/>
    <w:rsid w:val="00B42A0F"/>
    <w:rsid w:val="00B46BD7"/>
    <w:rsid w:val="00B479AB"/>
    <w:rsid w:val="00B51A86"/>
    <w:rsid w:val="00B80550"/>
    <w:rsid w:val="00B92C99"/>
    <w:rsid w:val="00BA0231"/>
    <w:rsid w:val="00BA255E"/>
    <w:rsid w:val="00BA3D58"/>
    <w:rsid w:val="00BB0AFE"/>
    <w:rsid w:val="00BB3858"/>
    <w:rsid w:val="00BB4933"/>
    <w:rsid w:val="00BC15E8"/>
    <w:rsid w:val="00BC242D"/>
    <w:rsid w:val="00BD0298"/>
    <w:rsid w:val="00BD2E50"/>
    <w:rsid w:val="00BD564B"/>
    <w:rsid w:val="00BD5F94"/>
    <w:rsid w:val="00BF4E5B"/>
    <w:rsid w:val="00BF66A8"/>
    <w:rsid w:val="00C27384"/>
    <w:rsid w:val="00C3095A"/>
    <w:rsid w:val="00C36637"/>
    <w:rsid w:val="00C36AC7"/>
    <w:rsid w:val="00C410FA"/>
    <w:rsid w:val="00C50421"/>
    <w:rsid w:val="00C6505C"/>
    <w:rsid w:val="00C71A73"/>
    <w:rsid w:val="00C72BE3"/>
    <w:rsid w:val="00C72E3E"/>
    <w:rsid w:val="00C77372"/>
    <w:rsid w:val="00C80CF9"/>
    <w:rsid w:val="00C83663"/>
    <w:rsid w:val="00C9427E"/>
    <w:rsid w:val="00C9750D"/>
    <w:rsid w:val="00CA095C"/>
    <w:rsid w:val="00CA6542"/>
    <w:rsid w:val="00CE0E07"/>
    <w:rsid w:val="00CE1ACE"/>
    <w:rsid w:val="00CE2F26"/>
    <w:rsid w:val="00CE70E6"/>
    <w:rsid w:val="00CF1568"/>
    <w:rsid w:val="00CF4DC0"/>
    <w:rsid w:val="00D15818"/>
    <w:rsid w:val="00D17B80"/>
    <w:rsid w:val="00D41B31"/>
    <w:rsid w:val="00D47B13"/>
    <w:rsid w:val="00D55FD5"/>
    <w:rsid w:val="00D6250D"/>
    <w:rsid w:val="00D777ED"/>
    <w:rsid w:val="00D84C47"/>
    <w:rsid w:val="00DA00E2"/>
    <w:rsid w:val="00DB529C"/>
    <w:rsid w:val="00DC05B4"/>
    <w:rsid w:val="00DC1A59"/>
    <w:rsid w:val="00DD02F5"/>
    <w:rsid w:val="00DD274A"/>
    <w:rsid w:val="00DD5645"/>
    <w:rsid w:val="00DE6A72"/>
    <w:rsid w:val="00DF2B05"/>
    <w:rsid w:val="00DF3B67"/>
    <w:rsid w:val="00E009FD"/>
    <w:rsid w:val="00E01710"/>
    <w:rsid w:val="00E23540"/>
    <w:rsid w:val="00E23DD0"/>
    <w:rsid w:val="00E3755B"/>
    <w:rsid w:val="00E40910"/>
    <w:rsid w:val="00E43F89"/>
    <w:rsid w:val="00E44006"/>
    <w:rsid w:val="00E5084E"/>
    <w:rsid w:val="00E52585"/>
    <w:rsid w:val="00E54434"/>
    <w:rsid w:val="00E75062"/>
    <w:rsid w:val="00E75E9A"/>
    <w:rsid w:val="00E9118B"/>
    <w:rsid w:val="00E9462F"/>
    <w:rsid w:val="00EA1354"/>
    <w:rsid w:val="00EA16F4"/>
    <w:rsid w:val="00EB421F"/>
    <w:rsid w:val="00ED38E5"/>
    <w:rsid w:val="00ED3A58"/>
    <w:rsid w:val="00ED3F52"/>
    <w:rsid w:val="00ED42B6"/>
    <w:rsid w:val="00ED4829"/>
    <w:rsid w:val="00EE0DE8"/>
    <w:rsid w:val="00EE588C"/>
    <w:rsid w:val="00EF3A0A"/>
    <w:rsid w:val="00EF7DD5"/>
    <w:rsid w:val="00F01419"/>
    <w:rsid w:val="00F1595F"/>
    <w:rsid w:val="00F17CD0"/>
    <w:rsid w:val="00F2130B"/>
    <w:rsid w:val="00F215BF"/>
    <w:rsid w:val="00F21B78"/>
    <w:rsid w:val="00F23BCC"/>
    <w:rsid w:val="00F2413C"/>
    <w:rsid w:val="00F247BC"/>
    <w:rsid w:val="00F259EB"/>
    <w:rsid w:val="00F2627C"/>
    <w:rsid w:val="00F30C43"/>
    <w:rsid w:val="00F5289D"/>
    <w:rsid w:val="00F5585F"/>
    <w:rsid w:val="00F62067"/>
    <w:rsid w:val="00F66121"/>
    <w:rsid w:val="00F6762D"/>
    <w:rsid w:val="00F739F3"/>
    <w:rsid w:val="00F9664B"/>
    <w:rsid w:val="00FA63BB"/>
    <w:rsid w:val="00FB0017"/>
    <w:rsid w:val="00FB76DB"/>
    <w:rsid w:val="00FD5DBC"/>
    <w:rsid w:val="00FD7E7E"/>
    <w:rsid w:val="00FE08BD"/>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paragraph" w:styleId="Heading1">
    <w:name w:val="heading 1"/>
    <w:basedOn w:val="Normal"/>
    <w:next w:val="Normal"/>
    <w:link w:val="Heading1Char"/>
    <w:uiPriority w:val="9"/>
    <w:qFormat/>
    <w:rsid w:val="000C0C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3755B"/>
    <w:pPr>
      <w:keepNext/>
      <w:tabs>
        <w:tab w:val="left" w:pos="576"/>
      </w:tabs>
      <w:overflowPunct w:val="0"/>
      <w:autoSpaceDE w:val="0"/>
      <w:autoSpaceDN w:val="0"/>
      <w:adjustRightInd w:val="0"/>
      <w:spacing w:before="240" w:after="60"/>
      <w:jc w:val="both"/>
      <w:textAlignment w:val="baseline"/>
      <w:outlineLvl w:val="1"/>
    </w:pPr>
    <w:rPr>
      <w:rFonts w:ascii="Arial" w:eastAsia="Times New Roman" w:hAnsi="Arial"/>
      <w:b/>
      <w:i/>
      <w:sz w:val="24"/>
      <w:szCs w:val="20"/>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character" w:customStyle="1" w:styleId="Heading2Char">
    <w:name w:val="Heading 2 Char"/>
    <w:basedOn w:val="DefaultParagraphFont"/>
    <w:link w:val="Heading2"/>
    <w:rsid w:val="00E3755B"/>
    <w:rPr>
      <w:rFonts w:eastAsia="Times New Roman" w:cs="Times New Roman"/>
      <w:b/>
      <w:i/>
      <w:sz w:val="24"/>
      <w:szCs w:val="20"/>
      <w:lang w:val="sv-SE"/>
    </w:rPr>
  </w:style>
  <w:style w:type="paragraph" w:styleId="BodyText2">
    <w:name w:val="Body Text 2"/>
    <w:basedOn w:val="Normal"/>
    <w:link w:val="BodyText2Char"/>
    <w:uiPriority w:val="99"/>
    <w:semiHidden/>
    <w:unhideWhenUsed/>
    <w:rsid w:val="00432416"/>
    <w:pPr>
      <w:jc w:val="both"/>
    </w:pPr>
    <w:rPr>
      <w:rFonts w:ascii="Times New Roman" w:hAnsi="Times New Roman"/>
      <w:b/>
      <w:bCs/>
    </w:rPr>
  </w:style>
  <w:style w:type="character" w:customStyle="1" w:styleId="BodyText2Char">
    <w:name w:val="Body Text 2 Char"/>
    <w:basedOn w:val="DefaultParagraphFont"/>
    <w:link w:val="BodyText2"/>
    <w:uiPriority w:val="99"/>
    <w:semiHidden/>
    <w:rsid w:val="00432416"/>
    <w:rPr>
      <w:rFonts w:ascii="Times New Roman" w:hAnsi="Times New Roman" w:cs="Times New Roman"/>
      <w:b/>
      <w:bCs/>
      <w:sz w:val="22"/>
      <w:lang w:eastAsia="sl-SI"/>
    </w:rPr>
  </w:style>
  <w:style w:type="paragraph" w:customStyle="1" w:styleId="Default">
    <w:name w:val="Default"/>
    <w:rsid w:val="00802CAF"/>
    <w:pPr>
      <w:autoSpaceDE w:val="0"/>
      <w:autoSpaceDN w:val="0"/>
      <w:adjustRightInd w:val="0"/>
      <w:spacing w:after="0" w:line="240" w:lineRule="auto"/>
    </w:pPr>
    <w:rPr>
      <w:rFonts w:cs="Arial"/>
      <w:color w:val="000000"/>
      <w:sz w:val="24"/>
      <w:szCs w:val="24"/>
    </w:rPr>
  </w:style>
  <w:style w:type="character" w:customStyle="1" w:styleId="Heading1Char">
    <w:name w:val="Heading 1 Char"/>
    <w:basedOn w:val="DefaultParagraphFont"/>
    <w:link w:val="Heading1"/>
    <w:uiPriority w:val="9"/>
    <w:rsid w:val="000C0C96"/>
    <w:rPr>
      <w:rFonts w:asciiTheme="majorHAnsi" w:eastAsiaTheme="majorEastAsia" w:hAnsiTheme="majorHAnsi" w:cstheme="majorBidi"/>
      <w:color w:val="2E74B5" w:themeColor="accent1" w:themeShade="BF"/>
      <w:sz w:val="32"/>
      <w:szCs w:val="32"/>
      <w:lang w:eastAsia="sl-SI"/>
    </w:rPr>
  </w:style>
  <w:style w:type="paragraph" w:styleId="Revision">
    <w:name w:val="Revision"/>
    <w:hidden/>
    <w:uiPriority w:val="99"/>
    <w:semiHidden/>
    <w:rsid w:val="001C5BA2"/>
    <w:pPr>
      <w:spacing w:after="0" w:line="240" w:lineRule="auto"/>
    </w:pPr>
    <w:rPr>
      <w:rFonts w:ascii="Calibri" w:hAnsi="Calibri" w:cs="Times New Roman"/>
      <w:sz w:val="22"/>
      <w:lang w:eastAsia="sl-SI"/>
    </w:rPr>
  </w:style>
  <w:style w:type="character" w:customStyle="1" w:styleId="display-block">
    <w:name w:val="display-block"/>
    <w:basedOn w:val="DefaultParagraphFont"/>
    <w:rsid w:val="0012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80950833">
      <w:bodyDiv w:val="1"/>
      <w:marLeft w:val="0"/>
      <w:marRight w:val="0"/>
      <w:marTop w:val="0"/>
      <w:marBottom w:val="0"/>
      <w:divBdr>
        <w:top w:val="none" w:sz="0" w:space="0" w:color="auto"/>
        <w:left w:val="none" w:sz="0" w:space="0" w:color="auto"/>
        <w:bottom w:val="none" w:sz="0" w:space="0" w:color="auto"/>
        <w:right w:val="none" w:sz="0" w:space="0" w:color="auto"/>
      </w:divBdr>
    </w:div>
    <w:div w:id="8804671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224997250">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299959592">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19370953">
      <w:bodyDiv w:val="1"/>
      <w:marLeft w:val="0"/>
      <w:marRight w:val="0"/>
      <w:marTop w:val="0"/>
      <w:marBottom w:val="0"/>
      <w:divBdr>
        <w:top w:val="none" w:sz="0" w:space="0" w:color="auto"/>
        <w:left w:val="none" w:sz="0" w:space="0" w:color="auto"/>
        <w:bottom w:val="none" w:sz="0" w:space="0" w:color="auto"/>
        <w:right w:val="none" w:sz="0" w:space="0" w:color="auto"/>
      </w:divBdr>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909535420">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09872388">
      <w:bodyDiv w:val="1"/>
      <w:marLeft w:val="0"/>
      <w:marRight w:val="0"/>
      <w:marTop w:val="0"/>
      <w:marBottom w:val="0"/>
      <w:divBdr>
        <w:top w:val="none" w:sz="0" w:space="0" w:color="auto"/>
        <w:left w:val="none" w:sz="0" w:space="0" w:color="auto"/>
        <w:bottom w:val="none" w:sz="0" w:space="0" w:color="auto"/>
        <w:right w:val="none" w:sz="0" w:space="0" w:color="auto"/>
      </w:divBdr>
    </w:div>
    <w:div w:id="1021316357">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67094879">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33544072">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24983539">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83899827">
      <w:bodyDiv w:val="1"/>
      <w:marLeft w:val="0"/>
      <w:marRight w:val="0"/>
      <w:marTop w:val="0"/>
      <w:marBottom w:val="0"/>
      <w:divBdr>
        <w:top w:val="none" w:sz="0" w:space="0" w:color="auto"/>
        <w:left w:val="none" w:sz="0" w:space="0" w:color="auto"/>
        <w:bottom w:val="none" w:sz="0" w:space="0" w:color="auto"/>
        <w:right w:val="none" w:sz="0" w:space="0" w:color="auto"/>
      </w:divBdr>
    </w:div>
    <w:div w:id="192147620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1994290938">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mf.org/en/Blogs/Articles/2022/02/10/europes-consumers-are-sitting-on-1-trillion-euros-in-pandemic-savi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tat.si/StatWeb/news/Index/99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statistics-explained/index.php?title=Households_-_statistics_on_disposable_income,_saving_and_investment#Household_saving_rate"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1263</Words>
  <Characters>7202</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3</cp:revision>
  <cp:lastPrinted>2022-10-24T12:07:00Z</cp:lastPrinted>
  <dcterms:created xsi:type="dcterms:W3CDTF">2022-10-24T14:02:00Z</dcterms:created>
  <dcterms:modified xsi:type="dcterms:W3CDTF">2022-10-25T06:35:00Z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b4499aea14a66a01807cb507f1d107ccbe4bcf4604d9e447a8af0a8c821f1c09</vt:lpwstr>
  </property>
</Properties>
</file>