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671E7C" w:rsidRDefault="000A04E5" w:rsidP="00672B35">
      <w:pPr>
        <w:pStyle w:val="01oznaka1"/>
        <w:ind w:left="6663" w:right="-329"/>
        <w:jc w:val="both"/>
        <w:rPr>
          <w:rFonts w:ascii="Arial" w:hAnsi="Arial" w:cs="Arial"/>
          <w:b/>
          <w:szCs w:val="22"/>
          <w:lang w:val="sl-SI"/>
        </w:rPr>
      </w:pPr>
      <w:r w:rsidRPr="00671E7C">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E7C">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671E7C" w:rsidRDefault="00AC7D45" w:rsidP="00672B35">
      <w:pPr>
        <w:jc w:val="both"/>
        <w:rPr>
          <w:rFonts w:ascii="Arial" w:hAnsi="Arial" w:cs="Arial"/>
          <w:lang w:eastAsia="en-US"/>
        </w:rPr>
      </w:pPr>
    </w:p>
    <w:p w14:paraId="0EC23656" w14:textId="77777777" w:rsidR="00AC7D45" w:rsidRPr="00671E7C" w:rsidRDefault="00AC7D45" w:rsidP="00672B35">
      <w:pPr>
        <w:jc w:val="both"/>
        <w:rPr>
          <w:rFonts w:ascii="Arial" w:hAnsi="Arial" w:cs="Arial"/>
          <w:lang w:eastAsia="en-US"/>
        </w:rPr>
      </w:pPr>
    </w:p>
    <w:p w14:paraId="72A8A4E7" w14:textId="71F20555" w:rsidR="00D144E0" w:rsidRPr="00E26E46" w:rsidRDefault="001F152D" w:rsidP="00430EF8">
      <w:pPr>
        <w:spacing w:before="100" w:beforeAutospacing="1" w:after="100" w:afterAutospacing="1"/>
        <w:jc w:val="both"/>
        <w:rPr>
          <w:rFonts w:ascii="Tahoma" w:hAnsi="Tahoma" w:cs="Tahoma"/>
          <w:b/>
        </w:rPr>
      </w:pPr>
      <w:r w:rsidRPr="00E26E46">
        <w:rPr>
          <w:rFonts w:ascii="Tahoma" w:hAnsi="Tahoma" w:cs="Tahoma"/>
          <w:b/>
        </w:rPr>
        <w:t>Odgovor na novinarsk</w:t>
      </w:r>
      <w:r w:rsidR="00E46624" w:rsidRPr="00E26E46">
        <w:rPr>
          <w:rFonts w:ascii="Tahoma" w:hAnsi="Tahoma" w:cs="Tahoma"/>
          <w:b/>
        </w:rPr>
        <w:t>a</w:t>
      </w:r>
      <w:r w:rsidRPr="00E26E46">
        <w:rPr>
          <w:rFonts w:ascii="Tahoma" w:hAnsi="Tahoma" w:cs="Tahoma"/>
          <w:b/>
        </w:rPr>
        <w:t xml:space="preserve"> vprašanj</w:t>
      </w:r>
      <w:r w:rsidR="00E46624" w:rsidRPr="00E26E46">
        <w:rPr>
          <w:rFonts w:ascii="Tahoma" w:hAnsi="Tahoma" w:cs="Tahoma"/>
          <w:b/>
        </w:rPr>
        <w:t>a</w:t>
      </w:r>
      <w:r w:rsidRPr="00E26E46">
        <w:rPr>
          <w:rFonts w:ascii="Tahoma" w:hAnsi="Tahoma" w:cs="Tahoma"/>
          <w:b/>
        </w:rPr>
        <w:t xml:space="preserve"> </w:t>
      </w:r>
      <w:r w:rsidR="00E46624" w:rsidRPr="00E26E46">
        <w:rPr>
          <w:rFonts w:ascii="Tahoma" w:hAnsi="Tahoma" w:cs="Tahoma"/>
          <w:b/>
        </w:rPr>
        <w:t xml:space="preserve">glede </w:t>
      </w:r>
      <w:r w:rsidR="00FD684F" w:rsidRPr="00E26E46">
        <w:rPr>
          <w:rFonts w:ascii="Tahoma" w:hAnsi="Tahoma" w:cs="Tahoma"/>
          <w:b/>
        </w:rPr>
        <w:t>ESG vprašalnika</w:t>
      </w:r>
    </w:p>
    <w:p w14:paraId="67426BC4" w14:textId="0E9AEF76" w:rsidR="00E46624" w:rsidRPr="00E26E46" w:rsidRDefault="00E46624" w:rsidP="00430EF8">
      <w:pPr>
        <w:shd w:val="clear" w:color="auto" w:fill="FFFFFF"/>
        <w:spacing w:before="100" w:beforeAutospacing="1" w:after="100" w:afterAutospacing="1"/>
        <w:rPr>
          <w:rFonts w:ascii="Tahoma" w:eastAsia="Times New Roman" w:hAnsi="Tahoma" w:cs="Tahoma"/>
          <w:b/>
          <w:bCs/>
        </w:rPr>
      </w:pPr>
      <w:r w:rsidRPr="00E26E46">
        <w:rPr>
          <w:rFonts w:ascii="Tahoma" w:eastAsia="Times New Roman" w:hAnsi="Tahoma" w:cs="Tahoma"/>
          <w:b/>
          <w:bCs/>
        </w:rPr>
        <w:t>Vprašanja:</w:t>
      </w:r>
    </w:p>
    <w:p w14:paraId="6159F018" w14:textId="68E14A65" w:rsidR="00FD684F" w:rsidRPr="00E26E46" w:rsidRDefault="00FD684F" w:rsidP="00430EF8">
      <w:pPr>
        <w:spacing w:before="100" w:beforeAutospacing="1" w:after="100" w:afterAutospacing="1"/>
        <w:rPr>
          <w:rFonts w:ascii="Tahoma" w:hAnsi="Tahoma" w:cs="Tahoma"/>
        </w:rPr>
      </w:pPr>
      <w:r w:rsidRPr="00E26E46">
        <w:rPr>
          <w:rFonts w:ascii="Tahoma" w:hAnsi="Tahoma" w:cs="Tahoma"/>
        </w:rPr>
        <w:t>Pišem članek o ESG vprašalnikih bank. V okviru tega me zanima, koliko so ti vprašalniki poenoteni. Prosila bi za odgovore na vprašanja:</w:t>
      </w:r>
    </w:p>
    <w:p w14:paraId="22ABB8E2" w14:textId="77777777" w:rsidR="00671E7C" w:rsidRPr="00E26E46" w:rsidRDefault="00FD684F" w:rsidP="00430EF8">
      <w:pPr>
        <w:spacing w:before="100" w:beforeAutospacing="1" w:after="100" w:afterAutospacing="1"/>
        <w:rPr>
          <w:rFonts w:ascii="Tahoma" w:hAnsi="Tahoma" w:cs="Tahoma"/>
        </w:rPr>
      </w:pPr>
      <w:r w:rsidRPr="00E26E46">
        <w:rPr>
          <w:rFonts w:ascii="Tahoma" w:hAnsi="Tahoma" w:cs="Tahoma"/>
        </w:rPr>
        <w:t xml:space="preserve">Katere so ključne smernice, ki se jih morajo banke držati pri oblikovanju teh vprašalnikov (EBA, ECB)? </w:t>
      </w:r>
    </w:p>
    <w:p w14:paraId="525CA375" w14:textId="292F9D21" w:rsidR="00FD684F" w:rsidRPr="00E26E46" w:rsidRDefault="00FD684F" w:rsidP="00430EF8">
      <w:pPr>
        <w:spacing w:before="100" w:beforeAutospacing="1" w:after="100" w:afterAutospacing="1"/>
        <w:rPr>
          <w:rFonts w:ascii="Tahoma" w:hAnsi="Tahoma" w:cs="Tahoma"/>
        </w:rPr>
      </w:pPr>
      <w:r w:rsidRPr="00E26E46">
        <w:rPr>
          <w:rFonts w:ascii="Tahoma" w:hAnsi="Tahoma" w:cs="Tahoma"/>
        </w:rPr>
        <w:t>Katere elemente morajo upoštevati pri oblikovanju vprašanj?</w:t>
      </w:r>
    </w:p>
    <w:p w14:paraId="6CE3319A" w14:textId="77777777" w:rsidR="00EF7D70" w:rsidRPr="00E26E46" w:rsidRDefault="00FD684F" w:rsidP="00430EF8">
      <w:pPr>
        <w:spacing w:before="100" w:beforeAutospacing="1" w:after="100" w:afterAutospacing="1"/>
        <w:rPr>
          <w:rFonts w:ascii="Tahoma" w:hAnsi="Tahoma" w:cs="Tahoma"/>
        </w:rPr>
      </w:pPr>
      <w:r w:rsidRPr="00E26E46">
        <w:rPr>
          <w:rFonts w:ascii="Tahoma" w:hAnsi="Tahoma" w:cs="Tahoma"/>
        </w:rPr>
        <w:t xml:space="preserve">Ali morda obstaja za slovenske banke kakšen enoten vprašalnik ali banke samostojno oblikujejo vprašanja? </w:t>
      </w:r>
    </w:p>
    <w:p w14:paraId="46F79812" w14:textId="74BF606D" w:rsidR="00FD684F" w:rsidRPr="00E26E46" w:rsidRDefault="00FD684F" w:rsidP="00430EF8">
      <w:pPr>
        <w:spacing w:before="100" w:beforeAutospacing="1" w:after="100" w:afterAutospacing="1"/>
        <w:rPr>
          <w:rFonts w:ascii="Tahoma" w:hAnsi="Tahoma" w:cs="Tahoma"/>
        </w:rPr>
      </w:pPr>
      <w:r w:rsidRPr="00E26E46">
        <w:rPr>
          <w:rFonts w:ascii="Tahoma" w:hAnsi="Tahoma" w:cs="Tahoma"/>
        </w:rPr>
        <w:t xml:space="preserve">Kolikor  sem zasledila, obstaja posebna delovna skupina pri ZBS za to področje. </w:t>
      </w:r>
      <w:hyperlink r:id="rId10" w:history="1">
        <w:r w:rsidRPr="00E26E46">
          <w:rPr>
            <w:rStyle w:val="Hyperlink"/>
            <w:rFonts w:ascii="Tahoma" w:hAnsi="Tahoma" w:cs="Tahoma"/>
          </w:rPr>
          <w:t>https://www.gzs.si/zbornica_racunovodskih_servisov/Novice/ArticleId/83881/zbs-vprasalnik-za-oceno-okoljskih-druzbenih-in-upravljavskih-esg-tveganj-podjetja</w:t>
        </w:r>
      </w:hyperlink>
    </w:p>
    <w:p w14:paraId="08A29083" w14:textId="02FBA23F" w:rsidR="00FC329E" w:rsidRPr="00E26E46" w:rsidRDefault="00FD684F" w:rsidP="00430EF8">
      <w:pPr>
        <w:spacing w:before="100" w:beforeAutospacing="1" w:after="100" w:afterAutospacing="1"/>
        <w:rPr>
          <w:rFonts w:ascii="Tahoma" w:hAnsi="Tahoma" w:cs="Tahoma"/>
          <w:b/>
          <w:bCs/>
          <w:color w:val="333333"/>
        </w:rPr>
      </w:pPr>
      <w:r w:rsidRPr="00E26E46">
        <w:rPr>
          <w:rFonts w:ascii="Tahoma" w:hAnsi="Tahoma" w:cs="Tahoma"/>
        </w:rPr>
        <w:t>Ali so ta vprašanja kot neke smernice z banke? Ali imate kakšno informacije, koliko se banke držijo teh smernic?</w:t>
      </w:r>
    </w:p>
    <w:p w14:paraId="440830A3" w14:textId="62F2D276" w:rsidR="00E46624" w:rsidRPr="00E26E46" w:rsidRDefault="00E46624" w:rsidP="00430EF8">
      <w:pPr>
        <w:spacing w:before="100" w:beforeAutospacing="1" w:after="100" w:afterAutospacing="1"/>
        <w:jc w:val="both"/>
        <w:rPr>
          <w:rFonts w:ascii="Tahoma" w:eastAsia="Times New Roman" w:hAnsi="Tahoma" w:cs="Tahoma"/>
          <w:b/>
          <w:bCs/>
        </w:rPr>
      </w:pPr>
    </w:p>
    <w:p w14:paraId="47B0533F" w14:textId="6B167F2D" w:rsidR="00F34BD1" w:rsidRPr="00E26E46" w:rsidRDefault="001F152D" w:rsidP="00430EF8">
      <w:pPr>
        <w:spacing w:before="100" w:beforeAutospacing="1" w:after="100" w:afterAutospacing="1"/>
        <w:jc w:val="both"/>
        <w:rPr>
          <w:rFonts w:ascii="Tahoma" w:eastAsia="Times New Roman" w:hAnsi="Tahoma" w:cs="Tahoma"/>
          <w:b/>
          <w:bCs/>
        </w:rPr>
      </w:pPr>
      <w:r w:rsidRPr="00E26E46">
        <w:rPr>
          <w:rFonts w:ascii="Tahoma" w:eastAsia="Times New Roman" w:hAnsi="Tahoma" w:cs="Tahoma"/>
          <w:b/>
          <w:bCs/>
        </w:rPr>
        <w:t xml:space="preserve">Odgovor </w:t>
      </w:r>
      <w:r w:rsidR="00E46624" w:rsidRPr="00E26E46">
        <w:rPr>
          <w:rFonts w:ascii="Tahoma" w:eastAsia="Times New Roman" w:hAnsi="Tahoma" w:cs="Tahoma"/>
          <w:b/>
          <w:bCs/>
        </w:rPr>
        <w:t>Združenja bank Sl</w:t>
      </w:r>
      <w:r w:rsidR="00C00BA8" w:rsidRPr="00E26E46">
        <w:rPr>
          <w:rFonts w:ascii="Tahoma" w:eastAsia="Times New Roman" w:hAnsi="Tahoma" w:cs="Tahoma"/>
          <w:b/>
          <w:bCs/>
        </w:rPr>
        <w:t>o</w:t>
      </w:r>
      <w:r w:rsidR="00E46624" w:rsidRPr="00E26E46">
        <w:rPr>
          <w:rFonts w:ascii="Tahoma" w:eastAsia="Times New Roman" w:hAnsi="Tahoma" w:cs="Tahoma"/>
          <w:b/>
          <w:bCs/>
        </w:rPr>
        <w:t>venije</w:t>
      </w:r>
    </w:p>
    <w:p w14:paraId="3107FFFF" w14:textId="4CBBA056" w:rsidR="00430EF8" w:rsidRPr="00E26E46" w:rsidRDefault="00430EF8" w:rsidP="00430EF8">
      <w:pPr>
        <w:pStyle w:val="BodyText"/>
        <w:spacing w:before="100" w:beforeAutospacing="1" w:after="100" w:afterAutospacing="1"/>
        <w:jc w:val="both"/>
        <w:rPr>
          <w:rFonts w:ascii="Tahoma" w:hAnsi="Tahoma" w:cs="Tahoma"/>
          <w:lang w:val="sl-SI"/>
        </w:rPr>
      </w:pPr>
      <w:r w:rsidRPr="00E26E46">
        <w:rPr>
          <w:rFonts w:ascii="Tahoma" w:hAnsi="Tahoma" w:cs="Tahoma"/>
          <w:color w:val="1F2123"/>
          <w:w w:val="110"/>
          <w:lang w:val="sl-SI"/>
        </w:rPr>
        <w:t xml:space="preserve">V okviru prehoda v </w:t>
      </w:r>
      <w:proofErr w:type="spellStart"/>
      <w:r w:rsidRPr="00E26E46">
        <w:rPr>
          <w:rFonts w:ascii="Tahoma" w:hAnsi="Tahoma" w:cs="Tahoma"/>
          <w:color w:val="1F2123"/>
          <w:w w:val="110"/>
          <w:lang w:val="sl-SI"/>
        </w:rPr>
        <w:t>nizkoogljično</w:t>
      </w:r>
      <w:proofErr w:type="spellEnd"/>
      <w:r w:rsidRPr="00E26E46">
        <w:rPr>
          <w:rFonts w:ascii="Tahoma" w:hAnsi="Tahoma" w:cs="Tahoma"/>
          <w:color w:val="1F2123"/>
          <w:w w:val="110"/>
          <w:lang w:val="sl-SI"/>
        </w:rPr>
        <w:t xml:space="preserve"> družbo bo evropski bančni sektor v naslednjih letih odigral eno najpomembnejših vlog. EU se je na osnovi Agende ZN 2030, Ciljev trajnostnega razvoja OZN in Pariškega sporazuma zavezala, da bo do leta 2030 dosegla ambiciozne podnebne in energetske cilje. Dolgoročna strategija EU pa je do leta 2050 doseči neto nič emisij </w:t>
      </w:r>
      <w:r w:rsidRPr="00E26E46">
        <w:rPr>
          <w:rFonts w:ascii="Tahoma" w:hAnsi="Tahoma" w:cs="Tahoma"/>
          <w:color w:val="1F2123"/>
          <w:w w:val="105"/>
          <w:lang w:val="sl-SI"/>
        </w:rPr>
        <w:t>toplogrednih plinov.</w:t>
      </w:r>
    </w:p>
    <w:p w14:paraId="1AF4B3B4" w14:textId="77777777" w:rsidR="00430EF8" w:rsidRPr="00E26E46" w:rsidRDefault="00430EF8" w:rsidP="00430EF8">
      <w:pPr>
        <w:pStyle w:val="BodyText"/>
        <w:spacing w:before="100" w:beforeAutospacing="1" w:after="100" w:afterAutospacing="1"/>
        <w:jc w:val="both"/>
        <w:rPr>
          <w:rFonts w:ascii="Tahoma" w:hAnsi="Tahoma" w:cs="Tahoma"/>
          <w:lang w:val="sl-SI"/>
        </w:rPr>
      </w:pPr>
      <w:r w:rsidRPr="00E26E46">
        <w:rPr>
          <w:rFonts w:ascii="Tahoma" w:hAnsi="Tahoma" w:cs="Tahoma"/>
          <w:color w:val="1F2123"/>
          <w:w w:val="110"/>
          <w:lang w:val="sl-SI"/>
        </w:rPr>
        <w:t>Evropska komisija je že leta 2018 predlagala nov zakonodajni paket za finančno panogo - Akcijski načrt za financiranje trajnostne rasti, ki predstavlja podlago za preusmeritev zasebnega kapitala v financiranje trajnostnih gospodarskih aktivnosti, s čimer bo EU dosegla cilje Pariškega sporazuma. Akcijski načrt za financiranje trajnostne rasti opredeljuje tri cilje:</w:t>
      </w:r>
    </w:p>
    <w:p w14:paraId="389EC09B" w14:textId="77777777" w:rsidR="00430EF8" w:rsidRPr="00E26E46" w:rsidRDefault="00430EF8" w:rsidP="00430EF8">
      <w:pPr>
        <w:pStyle w:val="ListParagraph"/>
        <w:widowControl w:val="0"/>
        <w:numPr>
          <w:ilvl w:val="0"/>
          <w:numId w:val="25"/>
        </w:numPr>
        <w:tabs>
          <w:tab w:val="left" w:pos="2151"/>
        </w:tabs>
        <w:autoSpaceDE w:val="0"/>
        <w:autoSpaceDN w:val="0"/>
        <w:spacing w:before="100" w:beforeAutospacing="1" w:after="100" w:afterAutospacing="1"/>
        <w:rPr>
          <w:rFonts w:ascii="Tahoma" w:hAnsi="Tahoma" w:cs="Tahoma"/>
        </w:rPr>
      </w:pPr>
      <w:r w:rsidRPr="00E26E46">
        <w:rPr>
          <w:rFonts w:ascii="Tahoma" w:hAnsi="Tahoma" w:cs="Tahoma"/>
          <w:color w:val="1F2123"/>
          <w:w w:val="110"/>
        </w:rPr>
        <w:t>usmerjanje pretoka kapitala v trajnostne</w:t>
      </w:r>
      <w:r w:rsidRPr="00E26E46">
        <w:rPr>
          <w:rFonts w:ascii="Tahoma" w:hAnsi="Tahoma" w:cs="Tahoma"/>
          <w:color w:val="1F2123"/>
          <w:spacing w:val="13"/>
          <w:w w:val="110"/>
        </w:rPr>
        <w:t xml:space="preserve"> </w:t>
      </w:r>
      <w:r w:rsidRPr="00E26E46">
        <w:rPr>
          <w:rFonts w:ascii="Tahoma" w:hAnsi="Tahoma" w:cs="Tahoma"/>
          <w:color w:val="1F2123"/>
          <w:w w:val="110"/>
        </w:rPr>
        <w:t>naložbe;</w:t>
      </w:r>
    </w:p>
    <w:p w14:paraId="3D4FC756" w14:textId="5A27A395" w:rsidR="00430EF8" w:rsidRPr="00E26E46" w:rsidRDefault="00430EF8" w:rsidP="00430EF8">
      <w:pPr>
        <w:pStyle w:val="ListParagraph"/>
        <w:widowControl w:val="0"/>
        <w:numPr>
          <w:ilvl w:val="0"/>
          <w:numId w:val="25"/>
        </w:numPr>
        <w:tabs>
          <w:tab w:val="left" w:pos="2193"/>
        </w:tabs>
        <w:autoSpaceDE w:val="0"/>
        <w:autoSpaceDN w:val="0"/>
        <w:spacing w:before="100" w:beforeAutospacing="1" w:after="100" w:afterAutospacing="1"/>
        <w:rPr>
          <w:rFonts w:ascii="Tahoma" w:hAnsi="Tahoma" w:cs="Tahoma"/>
        </w:rPr>
      </w:pPr>
      <w:r w:rsidRPr="00E26E46">
        <w:rPr>
          <w:rFonts w:ascii="Tahoma" w:hAnsi="Tahoma" w:cs="Tahoma"/>
          <w:color w:val="1F2123"/>
          <w:w w:val="110"/>
        </w:rPr>
        <w:t>obvladovanje finančnih tveganj, ki izhajajo iz podnebnih sprememb</w:t>
      </w:r>
      <w:r w:rsidR="00E238DE" w:rsidRPr="00E26E46">
        <w:rPr>
          <w:rFonts w:ascii="Tahoma" w:hAnsi="Tahoma" w:cs="Tahoma"/>
          <w:color w:val="1F2123"/>
          <w:w w:val="110"/>
        </w:rPr>
        <w:t>;</w:t>
      </w:r>
      <w:r w:rsidRPr="00E26E46">
        <w:rPr>
          <w:rFonts w:ascii="Tahoma" w:hAnsi="Tahoma" w:cs="Tahoma"/>
          <w:color w:val="1F2123"/>
          <w:w w:val="110"/>
        </w:rPr>
        <w:t xml:space="preserve"> izčrpavanja naravnih virov, poslabšanja naravnega okolja in družbenih</w:t>
      </w:r>
      <w:r w:rsidRPr="00E26E46">
        <w:rPr>
          <w:rFonts w:ascii="Tahoma" w:hAnsi="Tahoma" w:cs="Tahoma"/>
          <w:color w:val="1F2123"/>
          <w:spacing w:val="9"/>
          <w:w w:val="110"/>
        </w:rPr>
        <w:t xml:space="preserve"> </w:t>
      </w:r>
      <w:r w:rsidRPr="00E26E46">
        <w:rPr>
          <w:rFonts w:ascii="Tahoma" w:hAnsi="Tahoma" w:cs="Tahoma"/>
          <w:color w:val="1F2123"/>
          <w:w w:val="110"/>
        </w:rPr>
        <w:t>sprememb;</w:t>
      </w:r>
    </w:p>
    <w:p w14:paraId="389EFD98" w14:textId="77777777" w:rsidR="00430EF8" w:rsidRPr="00E26E46" w:rsidRDefault="00430EF8" w:rsidP="00430EF8">
      <w:pPr>
        <w:pStyle w:val="ListParagraph"/>
        <w:widowControl w:val="0"/>
        <w:numPr>
          <w:ilvl w:val="0"/>
          <w:numId w:val="25"/>
        </w:numPr>
        <w:tabs>
          <w:tab w:val="left" w:pos="2163"/>
        </w:tabs>
        <w:autoSpaceDE w:val="0"/>
        <w:autoSpaceDN w:val="0"/>
        <w:spacing w:before="100" w:beforeAutospacing="1" w:after="100" w:afterAutospacing="1"/>
        <w:rPr>
          <w:rFonts w:ascii="Tahoma" w:hAnsi="Tahoma" w:cs="Tahoma"/>
        </w:rPr>
      </w:pPr>
      <w:r w:rsidRPr="00E26E46">
        <w:rPr>
          <w:rFonts w:ascii="Tahoma" w:hAnsi="Tahoma" w:cs="Tahoma"/>
          <w:color w:val="1F2123"/>
          <w:w w:val="110"/>
        </w:rPr>
        <w:t>spodbujanje preglednosti v zvezi s trajnostnim poslovanjem in krepitev dolgoročne naravnanosti poslovnih</w:t>
      </w:r>
      <w:r w:rsidRPr="00E26E46">
        <w:rPr>
          <w:rFonts w:ascii="Tahoma" w:hAnsi="Tahoma" w:cs="Tahoma"/>
          <w:color w:val="1F2123"/>
          <w:spacing w:val="-22"/>
          <w:w w:val="110"/>
        </w:rPr>
        <w:t xml:space="preserve"> </w:t>
      </w:r>
      <w:r w:rsidRPr="00E26E46">
        <w:rPr>
          <w:rFonts w:ascii="Tahoma" w:hAnsi="Tahoma" w:cs="Tahoma"/>
          <w:color w:val="1F2123"/>
          <w:w w:val="110"/>
        </w:rPr>
        <w:t>modelov.</w:t>
      </w:r>
    </w:p>
    <w:p w14:paraId="55D27DAB" w14:textId="0D802438" w:rsidR="00430EF8" w:rsidRPr="00E26E46" w:rsidRDefault="00430EF8" w:rsidP="00430EF8">
      <w:pPr>
        <w:pStyle w:val="BodyText"/>
        <w:spacing w:before="100" w:beforeAutospacing="1" w:after="100" w:afterAutospacing="1"/>
        <w:jc w:val="both"/>
        <w:rPr>
          <w:rFonts w:ascii="Tahoma" w:hAnsi="Tahoma" w:cs="Tahoma"/>
          <w:lang w:val="sl-SI"/>
        </w:rPr>
      </w:pPr>
      <w:r w:rsidRPr="00E26E46">
        <w:rPr>
          <w:rFonts w:ascii="Tahoma" w:hAnsi="Tahoma" w:cs="Tahoma"/>
          <w:color w:val="1F2123"/>
          <w:w w:val="110"/>
          <w:lang w:val="sl-SI"/>
        </w:rPr>
        <w:lastRenderedPageBreak/>
        <w:t>Za dosego ciljev so načrtovani naslednji ukrepi:</w:t>
      </w:r>
    </w:p>
    <w:p w14:paraId="072BEFA0" w14:textId="77777777" w:rsidR="00430EF8" w:rsidRPr="00E26E46" w:rsidRDefault="00430EF8" w:rsidP="00430EF8">
      <w:pPr>
        <w:pStyle w:val="ListParagraph"/>
        <w:widowControl w:val="0"/>
        <w:numPr>
          <w:ilvl w:val="0"/>
          <w:numId w:val="26"/>
        </w:numPr>
        <w:tabs>
          <w:tab w:val="left" w:pos="2623"/>
          <w:tab w:val="left" w:pos="2624"/>
        </w:tabs>
        <w:autoSpaceDE w:val="0"/>
        <w:autoSpaceDN w:val="0"/>
        <w:spacing w:before="100" w:beforeAutospacing="1" w:after="100" w:afterAutospacing="1"/>
        <w:rPr>
          <w:rFonts w:ascii="Tahoma" w:hAnsi="Tahoma" w:cs="Tahoma"/>
        </w:rPr>
      </w:pPr>
      <w:r w:rsidRPr="00E26E46">
        <w:rPr>
          <w:rFonts w:ascii="Tahoma" w:hAnsi="Tahoma" w:cs="Tahoma"/>
          <w:color w:val="1F2123"/>
          <w:w w:val="110"/>
        </w:rPr>
        <w:t>razvoj</w:t>
      </w:r>
      <w:r w:rsidRPr="00E26E46">
        <w:rPr>
          <w:rFonts w:ascii="Tahoma" w:hAnsi="Tahoma" w:cs="Tahoma"/>
          <w:color w:val="1F2123"/>
          <w:spacing w:val="-11"/>
          <w:w w:val="110"/>
        </w:rPr>
        <w:t xml:space="preserve"> </w:t>
      </w:r>
      <w:r w:rsidRPr="00E26E46">
        <w:rPr>
          <w:rFonts w:ascii="Tahoma" w:hAnsi="Tahoma" w:cs="Tahoma"/>
          <w:color w:val="1F2123"/>
          <w:w w:val="110"/>
        </w:rPr>
        <w:t>skladne</w:t>
      </w:r>
      <w:r w:rsidRPr="00E26E46">
        <w:rPr>
          <w:rFonts w:ascii="Tahoma" w:hAnsi="Tahoma" w:cs="Tahoma"/>
          <w:color w:val="1F2123"/>
          <w:spacing w:val="-12"/>
          <w:w w:val="110"/>
        </w:rPr>
        <w:t xml:space="preserve"> </w:t>
      </w:r>
      <w:r w:rsidRPr="00E26E46">
        <w:rPr>
          <w:rFonts w:ascii="Tahoma" w:hAnsi="Tahoma" w:cs="Tahoma"/>
          <w:color w:val="1F2123"/>
          <w:w w:val="110"/>
        </w:rPr>
        <w:t>taksonomije</w:t>
      </w:r>
      <w:r w:rsidRPr="00E26E46">
        <w:rPr>
          <w:rFonts w:ascii="Tahoma" w:hAnsi="Tahoma" w:cs="Tahoma"/>
          <w:color w:val="1F2123"/>
          <w:spacing w:val="-11"/>
          <w:w w:val="110"/>
        </w:rPr>
        <w:t xml:space="preserve"> </w:t>
      </w:r>
      <w:r w:rsidRPr="00E26E46">
        <w:rPr>
          <w:rFonts w:ascii="Tahoma" w:hAnsi="Tahoma" w:cs="Tahoma"/>
          <w:color w:val="1F2123"/>
          <w:w w:val="110"/>
        </w:rPr>
        <w:t>trajnostnih</w:t>
      </w:r>
      <w:r w:rsidRPr="00E26E46">
        <w:rPr>
          <w:rFonts w:ascii="Tahoma" w:hAnsi="Tahoma" w:cs="Tahoma"/>
          <w:color w:val="1F2123"/>
          <w:spacing w:val="-12"/>
          <w:w w:val="110"/>
        </w:rPr>
        <w:t xml:space="preserve"> </w:t>
      </w:r>
      <w:r w:rsidRPr="00E26E46">
        <w:rPr>
          <w:rFonts w:ascii="Tahoma" w:hAnsi="Tahoma" w:cs="Tahoma"/>
          <w:color w:val="1F2123"/>
          <w:w w:val="110"/>
        </w:rPr>
        <w:t>dejavnosti;</w:t>
      </w:r>
    </w:p>
    <w:p w14:paraId="3B94932F" w14:textId="77777777" w:rsidR="00430EF8" w:rsidRPr="00E26E46" w:rsidRDefault="00430EF8" w:rsidP="00430EF8">
      <w:pPr>
        <w:pStyle w:val="ListParagraph"/>
        <w:widowControl w:val="0"/>
        <w:numPr>
          <w:ilvl w:val="0"/>
          <w:numId w:val="26"/>
        </w:numPr>
        <w:tabs>
          <w:tab w:val="left" w:pos="2623"/>
          <w:tab w:val="left" w:pos="2624"/>
        </w:tabs>
        <w:autoSpaceDE w:val="0"/>
        <w:autoSpaceDN w:val="0"/>
        <w:spacing w:before="100" w:beforeAutospacing="1" w:after="100" w:afterAutospacing="1"/>
        <w:rPr>
          <w:rFonts w:ascii="Tahoma" w:hAnsi="Tahoma" w:cs="Tahoma"/>
        </w:rPr>
      </w:pPr>
      <w:r w:rsidRPr="00E26E46">
        <w:rPr>
          <w:rFonts w:ascii="Tahoma" w:hAnsi="Tahoma" w:cs="Tahoma"/>
          <w:color w:val="1F2123"/>
          <w:w w:val="110"/>
        </w:rPr>
        <w:t>priprava standardov in oznak za zelene finančne</w:t>
      </w:r>
      <w:r w:rsidRPr="00E26E46">
        <w:rPr>
          <w:rFonts w:ascii="Tahoma" w:hAnsi="Tahoma" w:cs="Tahoma"/>
          <w:color w:val="1F2123"/>
          <w:spacing w:val="37"/>
          <w:w w:val="110"/>
        </w:rPr>
        <w:t xml:space="preserve"> </w:t>
      </w:r>
      <w:r w:rsidRPr="00E26E46">
        <w:rPr>
          <w:rFonts w:ascii="Tahoma" w:hAnsi="Tahoma" w:cs="Tahoma"/>
          <w:color w:val="1F2123"/>
          <w:w w:val="110"/>
        </w:rPr>
        <w:t>produkte;</w:t>
      </w:r>
    </w:p>
    <w:p w14:paraId="4DDF458B" w14:textId="77777777" w:rsidR="00430EF8" w:rsidRPr="00E26E46" w:rsidRDefault="00430EF8" w:rsidP="00430EF8">
      <w:pPr>
        <w:pStyle w:val="ListParagraph"/>
        <w:widowControl w:val="0"/>
        <w:numPr>
          <w:ilvl w:val="0"/>
          <w:numId w:val="26"/>
        </w:numPr>
        <w:tabs>
          <w:tab w:val="left" w:pos="2623"/>
          <w:tab w:val="left" w:pos="2624"/>
        </w:tabs>
        <w:autoSpaceDE w:val="0"/>
        <w:autoSpaceDN w:val="0"/>
        <w:spacing w:before="100" w:beforeAutospacing="1" w:after="100" w:afterAutospacing="1"/>
        <w:rPr>
          <w:rFonts w:ascii="Tahoma" w:hAnsi="Tahoma" w:cs="Tahoma"/>
        </w:rPr>
      </w:pPr>
      <w:r w:rsidRPr="00E26E46">
        <w:rPr>
          <w:rFonts w:ascii="Tahoma" w:hAnsi="Tahoma" w:cs="Tahoma"/>
          <w:color w:val="1F2123"/>
          <w:w w:val="105"/>
        </w:rPr>
        <w:t>širitev  trajnostnega</w:t>
      </w:r>
      <w:r w:rsidRPr="00E26E46">
        <w:rPr>
          <w:rFonts w:ascii="Tahoma" w:hAnsi="Tahoma" w:cs="Tahoma"/>
          <w:color w:val="1F2123"/>
          <w:spacing w:val="36"/>
          <w:w w:val="105"/>
        </w:rPr>
        <w:t xml:space="preserve"> </w:t>
      </w:r>
      <w:r w:rsidRPr="00E26E46">
        <w:rPr>
          <w:rFonts w:ascii="Tahoma" w:hAnsi="Tahoma" w:cs="Tahoma"/>
          <w:color w:val="1F2123"/>
          <w:w w:val="105"/>
        </w:rPr>
        <w:t>financiranja;</w:t>
      </w:r>
    </w:p>
    <w:p w14:paraId="097BCCAD" w14:textId="77777777" w:rsidR="00430EF8" w:rsidRPr="00E26E46" w:rsidRDefault="00430EF8" w:rsidP="00430EF8">
      <w:pPr>
        <w:pStyle w:val="ListParagraph"/>
        <w:widowControl w:val="0"/>
        <w:numPr>
          <w:ilvl w:val="0"/>
          <w:numId w:val="26"/>
        </w:numPr>
        <w:tabs>
          <w:tab w:val="left" w:pos="2623"/>
          <w:tab w:val="left" w:pos="2624"/>
        </w:tabs>
        <w:autoSpaceDE w:val="0"/>
        <w:autoSpaceDN w:val="0"/>
        <w:spacing w:before="100" w:beforeAutospacing="1" w:after="100" w:afterAutospacing="1"/>
        <w:rPr>
          <w:rFonts w:ascii="Tahoma" w:hAnsi="Tahoma" w:cs="Tahoma"/>
        </w:rPr>
      </w:pPr>
      <w:r w:rsidRPr="00E26E46">
        <w:rPr>
          <w:rFonts w:ascii="Tahoma" w:hAnsi="Tahoma" w:cs="Tahoma"/>
          <w:color w:val="1F2123"/>
          <w:w w:val="110"/>
        </w:rPr>
        <w:t>integracija</w:t>
      </w:r>
      <w:r w:rsidRPr="00E26E46">
        <w:rPr>
          <w:rFonts w:ascii="Tahoma" w:hAnsi="Tahoma" w:cs="Tahoma"/>
          <w:color w:val="1F2123"/>
          <w:spacing w:val="-13"/>
          <w:w w:val="110"/>
        </w:rPr>
        <w:t xml:space="preserve"> </w:t>
      </w:r>
      <w:r w:rsidRPr="00E26E46">
        <w:rPr>
          <w:rFonts w:ascii="Tahoma" w:hAnsi="Tahoma" w:cs="Tahoma"/>
          <w:color w:val="1F2123"/>
          <w:w w:val="110"/>
        </w:rPr>
        <w:t>trajnostnega</w:t>
      </w:r>
      <w:r w:rsidRPr="00E26E46">
        <w:rPr>
          <w:rFonts w:ascii="Tahoma" w:hAnsi="Tahoma" w:cs="Tahoma"/>
          <w:color w:val="1F2123"/>
          <w:spacing w:val="-13"/>
          <w:w w:val="110"/>
        </w:rPr>
        <w:t xml:space="preserve"> </w:t>
      </w:r>
      <w:r w:rsidRPr="00E26E46">
        <w:rPr>
          <w:rFonts w:ascii="Tahoma" w:hAnsi="Tahoma" w:cs="Tahoma"/>
          <w:color w:val="1F2123"/>
          <w:w w:val="110"/>
        </w:rPr>
        <w:t>razvoja</w:t>
      </w:r>
      <w:r w:rsidRPr="00E26E46">
        <w:rPr>
          <w:rFonts w:ascii="Tahoma" w:hAnsi="Tahoma" w:cs="Tahoma"/>
          <w:color w:val="1F2123"/>
          <w:spacing w:val="-13"/>
          <w:w w:val="110"/>
        </w:rPr>
        <w:t xml:space="preserve"> </w:t>
      </w:r>
      <w:r w:rsidRPr="00E26E46">
        <w:rPr>
          <w:rFonts w:ascii="Tahoma" w:hAnsi="Tahoma" w:cs="Tahoma"/>
          <w:color w:val="1F2123"/>
          <w:w w:val="110"/>
        </w:rPr>
        <w:t>v</w:t>
      </w:r>
      <w:r w:rsidRPr="00E26E46">
        <w:rPr>
          <w:rFonts w:ascii="Tahoma" w:hAnsi="Tahoma" w:cs="Tahoma"/>
          <w:color w:val="1F2123"/>
          <w:spacing w:val="-13"/>
          <w:w w:val="110"/>
        </w:rPr>
        <w:t xml:space="preserve"> </w:t>
      </w:r>
      <w:r w:rsidRPr="00E26E46">
        <w:rPr>
          <w:rFonts w:ascii="Tahoma" w:hAnsi="Tahoma" w:cs="Tahoma"/>
          <w:color w:val="1F2123"/>
          <w:w w:val="110"/>
        </w:rPr>
        <w:t>investicijski</w:t>
      </w:r>
      <w:r w:rsidRPr="00E26E46">
        <w:rPr>
          <w:rFonts w:ascii="Tahoma" w:hAnsi="Tahoma" w:cs="Tahoma"/>
          <w:color w:val="1F2123"/>
          <w:spacing w:val="-13"/>
          <w:w w:val="110"/>
        </w:rPr>
        <w:t xml:space="preserve"> </w:t>
      </w:r>
      <w:r w:rsidRPr="00E26E46">
        <w:rPr>
          <w:rFonts w:ascii="Tahoma" w:hAnsi="Tahoma" w:cs="Tahoma"/>
          <w:color w:val="1F2123"/>
          <w:w w:val="110"/>
        </w:rPr>
        <w:t>proces;</w:t>
      </w:r>
    </w:p>
    <w:p w14:paraId="6D67C0E4" w14:textId="77777777" w:rsidR="00430EF8" w:rsidRPr="00E26E46" w:rsidRDefault="00430EF8" w:rsidP="00430EF8">
      <w:pPr>
        <w:pStyle w:val="ListParagraph"/>
        <w:widowControl w:val="0"/>
        <w:numPr>
          <w:ilvl w:val="0"/>
          <w:numId w:val="26"/>
        </w:numPr>
        <w:tabs>
          <w:tab w:val="left" w:pos="2623"/>
          <w:tab w:val="left" w:pos="2624"/>
        </w:tabs>
        <w:autoSpaceDE w:val="0"/>
        <w:autoSpaceDN w:val="0"/>
        <w:spacing w:before="100" w:beforeAutospacing="1" w:after="100" w:afterAutospacing="1"/>
        <w:rPr>
          <w:rFonts w:ascii="Tahoma" w:hAnsi="Tahoma" w:cs="Tahoma"/>
        </w:rPr>
      </w:pPr>
      <w:r w:rsidRPr="00E26E46">
        <w:rPr>
          <w:rFonts w:ascii="Tahoma" w:hAnsi="Tahoma" w:cs="Tahoma"/>
          <w:color w:val="1F2123"/>
          <w:w w:val="110"/>
        </w:rPr>
        <w:t>uvedba referenčnih vrednosti za trajnostni</w:t>
      </w:r>
      <w:r w:rsidRPr="00E26E46">
        <w:rPr>
          <w:rFonts w:ascii="Tahoma" w:hAnsi="Tahoma" w:cs="Tahoma"/>
          <w:color w:val="1F2123"/>
          <w:spacing w:val="-16"/>
          <w:w w:val="110"/>
        </w:rPr>
        <w:t xml:space="preserve"> </w:t>
      </w:r>
      <w:r w:rsidRPr="00E26E46">
        <w:rPr>
          <w:rFonts w:ascii="Tahoma" w:hAnsi="Tahoma" w:cs="Tahoma"/>
          <w:color w:val="1F2123"/>
          <w:w w:val="110"/>
        </w:rPr>
        <w:t>razvoj.</w:t>
      </w:r>
    </w:p>
    <w:p w14:paraId="53CBCE8D" w14:textId="6A21C566" w:rsidR="00A0556A" w:rsidRPr="00E26E46" w:rsidRDefault="00430EF8" w:rsidP="00B01872">
      <w:pPr>
        <w:pStyle w:val="BodyText"/>
        <w:spacing w:before="100" w:beforeAutospacing="1" w:after="100" w:afterAutospacing="1"/>
        <w:jc w:val="both"/>
        <w:rPr>
          <w:rFonts w:ascii="Tahoma" w:hAnsi="Tahoma" w:cs="Tahoma"/>
          <w:color w:val="1F2123"/>
          <w:w w:val="110"/>
          <w:lang w:val="sl-SI"/>
        </w:rPr>
      </w:pPr>
      <w:r w:rsidRPr="00E26E46">
        <w:rPr>
          <w:rFonts w:ascii="Tahoma" w:hAnsi="Tahoma" w:cs="Tahoma"/>
          <w:color w:val="1F2123"/>
          <w:w w:val="110"/>
          <w:lang w:val="sl-SI"/>
        </w:rPr>
        <w:t>Na osnovi omenjenih družbenih spremem</w:t>
      </w:r>
      <w:r w:rsidR="00B01872" w:rsidRPr="00E26E46">
        <w:rPr>
          <w:rFonts w:ascii="Tahoma" w:hAnsi="Tahoma" w:cs="Tahoma"/>
          <w:color w:val="1F2123"/>
          <w:w w:val="110"/>
          <w:lang w:val="sl-SI"/>
        </w:rPr>
        <w:t xml:space="preserve">b in </w:t>
      </w:r>
      <w:r w:rsidRPr="00E26E46">
        <w:rPr>
          <w:rFonts w:ascii="Tahoma" w:hAnsi="Tahoma" w:cs="Tahoma"/>
          <w:color w:val="1F2123"/>
          <w:w w:val="110"/>
          <w:lang w:val="sl-SI"/>
        </w:rPr>
        <w:t>novih zakonodajnih podlag</w:t>
      </w:r>
      <w:r w:rsidR="00B01872" w:rsidRPr="00E26E46">
        <w:rPr>
          <w:rFonts w:ascii="Tahoma" w:hAnsi="Tahoma" w:cs="Tahoma"/>
          <w:color w:val="1F2123"/>
          <w:w w:val="110"/>
          <w:lang w:val="sl-SI"/>
        </w:rPr>
        <w:t xml:space="preserve"> </w:t>
      </w:r>
      <w:r w:rsidRPr="00E26E46">
        <w:rPr>
          <w:rFonts w:ascii="Tahoma" w:hAnsi="Tahoma" w:cs="Tahoma"/>
          <w:color w:val="1F2123"/>
          <w:w w:val="110"/>
          <w:lang w:val="sl-SI"/>
        </w:rPr>
        <w:t xml:space="preserve">so banke in hranilnice (v nadaljevanju: banke) izrazito spodbujene k financiranju prehoda v </w:t>
      </w:r>
      <w:proofErr w:type="spellStart"/>
      <w:r w:rsidRPr="00E26E46">
        <w:rPr>
          <w:rFonts w:ascii="Tahoma" w:hAnsi="Tahoma" w:cs="Tahoma"/>
          <w:color w:val="1F2123"/>
          <w:w w:val="110"/>
          <w:lang w:val="sl-SI"/>
        </w:rPr>
        <w:t>brezogljično</w:t>
      </w:r>
      <w:proofErr w:type="spellEnd"/>
      <w:r w:rsidRPr="00E26E46">
        <w:rPr>
          <w:rFonts w:ascii="Tahoma" w:hAnsi="Tahoma" w:cs="Tahoma"/>
          <w:color w:val="1F2123"/>
          <w:w w:val="110"/>
          <w:lang w:val="sl-SI"/>
        </w:rPr>
        <w:t xml:space="preserve"> družbo</w:t>
      </w:r>
      <w:r w:rsidR="00B01872" w:rsidRPr="00E26E46">
        <w:rPr>
          <w:rFonts w:ascii="Tahoma" w:hAnsi="Tahoma" w:cs="Tahoma"/>
          <w:color w:val="1F2123"/>
          <w:w w:val="110"/>
          <w:lang w:val="sl-SI"/>
        </w:rPr>
        <w:t xml:space="preserve">, prav tako pa so v skladu z  veljavno bančno regulativo dolžne upravljati vsa relevantna tveganja, ki jih povzročajo </w:t>
      </w:r>
      <w:proofErr w:type="spellStart"/>
      <w:r w:rsidR="00B01872" w:rsidRPr="00E26E46">
        <w:rPr>
          <w:rFonts w:ascii="Tahoma" w:hAnsi="Tahoma" w:cs="Tahoma"/>
          <w:color w:val="1F2123"/>
          <w:w w:val="110"/>
          <w:lang w:val="sl-SI"/>
        </w:rPr>
        <w:t>okoljski</w:t>
      </w:r>
      <w:proofErr w:type="spellEnd"/>
      <w:r w:rsidR="00B01872" w:rsidRPr="00E26E46">
        <w:rPr>
          <w:rFonts w:ascii="Tahoma" w:hAnsi="Tahoma" w:cs="Tahoma"/>
          <w:color w:val="1F2123"/>
          <w:w w:val="110"/>
          <w:lang w:val="sl-SI"/>
        </w:rPr>
        <w:t>, družbeni in upravljavski dejavniki (ESG). Z namenom izpolnitve teh pričakovanj</w:t>
      </w:r>
      <w:r w:rsidR="00671E7C" w:rsidRPr="00E26E46">
        <w:rPr>
          <w:rFonts w:ascii="Tahoma" w:hAnsi="Tahoma" w:cs="Tahoma"/>
          <w:color w:val="1F2123"/>
          <w:w w:val="110"/>
          <w:lang w:val="sl-SI"/>
        </w:rPr>
        <w:t xml:space="preserve"> oziroma zahtev</w:t>
      </w:r>
      <w:r w:rsidR="00B01872" w:rsidRPr="00E26E46">
        <w:rPr>
          <w:rFonts w:ascii="Tahoma" w:hAnsi="Tahoma" w:cs="Tahoma"/>
          <w:color w:val="1F2123"/>
          <w:w w:val="110"/>
          <w:lang w:val="sl-SI"/>
        </w:rPr>
        <w:t xml:space="preserve"> so članice</w:t>
      </w:r>
      <w:r w:rsidRPr="00E26E46">
        <w:rPr>
          <w:rFonts w:ascii="Tahoma" w:hAnsi="Tahoma" w:cs="Tahoma"/>
          <w:color w:val="1F2123"/>
          <w:w w:val="110"/>
          <w:lang w:val="sl-SI"/>
        </w:rPr>
        <w:t xml:space="preserve"> Združenj</w:t>
      </w:r>
      <w:r w:rsidR="00B01872" w:rsidRPr="00E26E46">
        <w:rPr>
          <w:rFonts w:ascii="Tahoma" w:hAnsi="Tahoma" w:cs="Tahoma"/>
          <w:color w:val="1F2123"/>
          <w:w w:val="110"/>
          <w:lang w:val="sl-SI"/>
        </w:rPr>
        <w:t>a</w:t>
      </w:r>
      <w:r w:rsidRPr="00E26E46">
        <w:rPr>
          <w:rFonts w:ascii="Tahoma" w:hAnsi="Tahoma" w:cs="Tahoma"/>
          <w:color w:val="1F2123"/>
          <w:w w:val="110"/>
          <w:lang w:val="sl-SI"/>
        </w:rPr>
        <w:t xml:space="preserve"> bank Slovenije (v nadaljevanju: ZBS) </w:t>
      </w:r>
      <w:r w:rsidR="00B01872" w:rsidRPr="00E26E46">
        <w:rPr>
          <w:rFonts w:ascii="Tahoma" w:hAnsi="Tahoma" w:cs="Tahoma"/>
          <w:color w:val="1F2123"/>
          <w:w w:val="110"/>
          <w:lang w:val="sl-SI"/>
        </w:rPr>
        <w:t xml:space="preserve">v okviru posebne delovne skupine, ustanovljene leta 2022, </w:t>
      </w:r>
      <w:r w:rsidRPr="00E26E46">
        <w:rPr>
          <w:rFonts w:ascii="Tahoma" w:hAnsi="Tahoma" w:cs="Tahoma"/>
          <w:color w:val="1F2123"/>
          <w:w w:val="110"/>
          <w:lang w:val="sl-SI"/>
        </w:rPr>
        <w:t>pripravil</w:t>
      </w:r>
      <w:r w:rsidR="00B01872" w:rsidRPr="00E26E46">
        <w:rPr>
          <w:rFonts w:ascii="Tahoma" w:hAnsi="Tahoma" w:cs="Tahoma"/>
          <w:color w:val="1F2123"/>
          <w:w w:val="110"/>
          <w:lang w:val="sl-SI"/>
        </w:rPr>
        <w:t>e</w:t>
      </w:r>
      <w:r w:rsidRPr="00E26E46">
        <w:rPr>
          <w:rFonts w:ascii="Tahoma" w:hAnsi="Tahoma" w:cs="Tahoma"/>
          <w:color w:val="1F2123"/>
          <w:w w:val="110"/>
          <w:lang w:val="sl-SI"/>
        </w:rPr>
        <w:t xml:space="preserve"> </w:t>
      </w:r>
      <w:r w:rsidR="00B01872" w:rsidRPr="00E26E46">
        <w:rPr>
          <w:rFonts w:ascii="Tahoma" w:hAnsi="Tahoma" w:cs="Tahoma"/>
          <w:color w:val="1F2123"/>
          <w:w w:val="110"/>
          <w:lang w:val="sl-SI"/>
        </w:rPr>
        <w:t xml:space="preserve">primer referenčnega </w:t>
      </w:r>
      <w:r w:rsidR="00A0556A" w:rsidRPr="00E26E46">
        <w:rPr>
          <w:rFonts w:ascii="Tahoma" w:hAnsi="Tahoma" w:cs="Tahoma"/>
          <w:color w:val="1F2123"/>
          <w:w w:val="110"/>
          <w:lang w:val="sl-SI"/>
        </w:rPr>
        <w:t xml:space="preserve">(in </w:t>
      </w:r>
      <w:r w:rsidR="00671E7C" w:rsidRPr="00E26E46">
        <w:rPr>
          <w:rFonts w:ascii="Tahoma" w:hAnsi="Tahoma" w:cs="Tahoma"/>
          <w:color w:val="1F2123"/>
          <w:w w:val="110"/>
          <w:lang w:val="sl-SI"/>
        </w:rPr>
        <w:t xml:space="preserve">za članice ZBS </w:t>
      </w:r>
      <w:proofErr w:type="spellStart"/>
      <w:r w:rsidR="00A0556A" w:rsidRPr="00E26E46">
        <w:rPr>
          <w:rFonts w:ascii="Tahoma" w:hAnsi="Tahoma" w:cs="Tahoma"/>
          <w:color w:val="1F2123"/>
          <w:w w:val="110"/>
          <w:lang w:val="sl-SI"/>
        </w:rPr>
        <w:t>nezavezujočega</w:t>
      </w:r>
      <w:proofErr w:type="spellEnd"/>
      <w:r w:rsidR="00A0556A" w:rsidRPr="00E26E46">
        <w:rPr>
          <w:rFonts w:ascii="Tahoma" w:hAnsi="Tahoma" w:cs="Tahoma"/>
          <w:color w:val="1F2123"/>
          <w:w w:val="110"/>
          <w:lang w:val="sl-SI"/>
        </w:rPr>
        <w:t xml:space="preserve">) </w:t>
      </w:r>
      <w:r w:rsidR="00B01872" w:rsidRPr="00E26E46">
        <w:rPr>
          <w:rFonts w:ascii="Tahoma" w:hAnsi="Tahoma" w:cs="Tahoma"/>
          <w:color w:val="1F2123"/>
          <w:w w:val="110"/>
          <w:lang w:val="sl-SI"/>
        </w:rPr>
        <w:t>vprašalnika za zbiranje informacij s področja ESG</w:t>
      </w:r>
      <w:r w:rsidR="00A0556A" w:rsidRPr="00E26E46">
        <w:rPr>
          <w:rFonts w:ascii="Tahoma" w:hAnsi="Tahoma" w:cs="Tahoma"/>
          <w:color w:val="1F2123"/>
          <w:w w:val="110"/>
          <w:lang w:val="sl-SI"/>
        </w:rPr>
        <w:t xml:space="preserve"> od svojih komitentov</w:t>
      </w:r>
      <w:r w:rsidR="00671E7C" w:rsidRPr="00E26E46">
        <w:rPr>
          <w:rFonts w:ascii="Tahoma" w:hAnsi="Tahoma" w:cs="Tahoma"/>
          <w:color w:val="1F2123"/>
          <w:w w:val="110"/>
          <w:lang w:val="sl-SI"/>
        </w:rPr>
        <w:t>),</w:t>
      </w:r>
      <w:r w:rsidR="00A0556A" w:rsidRPr="00E26E46">
        <w:rPr>
          <w:rFonts w:ascii="Tahoma" w:hAnsi="Tahoma" w:cs="Tahoma"/>
          <w:color w:val="1F2123"/>
          <w:w w:val="110"/>
          <w:lang w:val="sl-SI"/>
        </w:rPr>
        <w:t xml:space="preserve"> ki jih morajo tozadevno ocenjevati. Podlago za pripravo </w:t>
      </w:r>
      <w:r w:rsidR="00671E7C" w:rsidRPr="00E26E46">
        <w:rPr>
          <w:rFonts w:ascii="Tahoma" w:hAnsi="Tahoma" w:cs="Tahoma"/>
          <w:color w:val="1F2123"/>
          <w:w w:val="110"/>
          <w:lang w:val="sl-SI"/>
        </w:rPr>
        <w:t xml:space="preserve">nabora referenčnih vprašanj </w:t>
      </w:r>
      <w:r w:rsidR="00A0556A" w:rsidRPr="00E26E46">
        <w:rPr>
          <w:rFonts w:ascii="Tahoma" w:hAnsi="Tahoma" w:cs="Tahoma"/>
          <w:color w:val="1F2123"/>
          <w:w w:val="110"/>
          <w:lang w:val="sl-SI"/>
        </w:rPr>
        <w:t xml:space="preserve">predstavljajo smernice organa EBA o odobravanju in spremljanju kreditov ter vodnik ECB o podnebnih in </w:t>
      </w:r>
      <w:proofErr w:type="spellStart"/>
      <w:r w:rsidR="00A0556A" w:rsidRPr="00E26E46">
        <w:rPr>
          <w:rFonts w:ascii="Tahoma" w:hAnsi="Tahoma" w:cs="Tahoma"/>
          <w:color w:val="1F2123"/>
          <w:w w:val="110"/>
          <w:lang w:val="sl-SI"/>
        </w:rPr>
        <w:t>okoljskih</w:t>
      </w:r>
      <w:proofErr w:type="spellEnd"/>
      <w:r w:rsidR="00A0556A" w:rsidRPr="00E26E46">
        <w:rPr>
          <w:rFonts w:ascii="Tahoma" w:hAnsi="Tahoma" w:cs="Tahoma"/>
          <w:color w:val="1F2123"/>
          <w:w w:val="110"/>
          <w:lang w:val="sl-SI"/>
        </w:rPr>
        <w:t xml:space="preserve"> tveganjih, prav tako pa zahteve, ki se nanašajo na javna razkritja</w:t>
      </w:r>
      <w:r w:rsidR="00671E7C" w:rsidRPr="00E26E46">
        <w:rPr>
          <w:rFonts w:ascii="Tahoma" w:hAnsi="Tahoma" w:cs="Tahoma"/>
          <w:color w:val="1F2123"/>
          <w:w w:val="110"/>
          <w:lang w:val="sl-SI"/>
        </w:rPr>
        <w:t xml:space="preserve"> (torej podatke, ki jih banke potrebujejo od svojih strank, da zadostijo regulativnim zahtevam s področja poročanja in razkritij)</w:t>
      </w:r>
      <w:r w:rsidR="00A0556A" w:rsidRPr="00E26E46">
        <w:rPr>
          <w:rFonts w:ascii="Tahoma" w:hAnsi="Tahoma" w:cs="Tahoma"/>
          <w:color w:val="1F2123"/>
          <w:w w:val="110"/>
          <w:lang w:val="sl-SI"/>
        </w:rPr>
        <w:t xml:space="preserve">. </w:t>
      </w:r>
      <w:r w:rsidR="00671E7C" w:rsidRPr="00E26E46">
        <w:rPr>
          <w:rFonts w:ascii="Tahoma" w:hAnsi="Tahoma" w:cs="Tahoma"/>
          <w:color w:val="1F2123"/>
          <w:w w:val="110"/>
          <w:lang w:val="sl-SI"/>
        </w:rPr>
        <w:t>Referenčni v</w:t>
      </w:r>
      <w:r w:rsidR="00A0556A" w:rsidRPr="00E26E46">
        <w:rPr>
          <w:rFonts w:ascii="Tahoma" w:hAnsi="Tahoma" w:cs="Tahoma"/>
          <w:color w:val="1F2123"/>
          <w:w w:val="110"/>
          <w:lang w:val="sl-SI"/>
        </w:rPr>
        <w:t xml:space="preserve">prašalnik je javno dostopen in objavljen tudi na spletni strani ZBS na internetnem naslovu </w:t>
      </w:r>
      <w:hyperlink r:id="rId11" w:history="1">
        <w:r w:rsidR="00A0556A" w:rsidRPr="00E26E46">
          <w:rPr>
            <w:rStyle w:val="Hyperlink"/>
            <w:rFonts w:ascii="Tahoma" w:hAnsi="Tahoma" w:cs="Tahoma"/>
            <w:w w:val="110"/>
            <w:lang w:val="sl-SI"/>
          </w:rPr>
          <w:t>https://www.zbs-giz.si/informacije-za-stranke-bank/</w:t>
        </w:r>
      </w:hyperlink>
      <w:r w:rsidR="005D02E9" w:rsidRPr="00E26E46">
        <w:rPr>
          <w:rStyle w:val="Hyperlink"/>
          <w:rFonts w:ascii="Tahoma" w:hAnsi="Tahoma" w:cs="Tahoma"/>
          <w:w w:val="110"/>
          <w:lang w:val="sl-SI"/>
        </w:rPr>
        <w:t>.</w:t>
      </w:r>
      <w:r w:rsidR="00A0556A" w:rsidRPr="00E26E46">
        <w:rPr>
          <w:rFonts w:ascii="Tahoma" w:hAnsi="Tahoma" w:cs="Tahoma"/>
          <w:color w:val="1F2123"/>
          <w:w w:val="110"/>
          <w:lang w:val="sl-SI"/>
        </w:rPr>
        <w:t xml:space="preserve"> </w:t>
      </w:r>
    </w:p>
    <w:p w14:paraId="65A5CDB1" w14:textId="0FDAFE4E" w:rsidR="00671E7C" w:rsidRDefault="00A0556A" w:rsidP="00B01872">
      <w:pPr>
        <w:pStyle w:val="BodyText"/>
        <w:spacing w:before="100" w:beforeAutospacing="1" w:after="100" w:afterAutospacing="1"/>
        <w:jc w:val="both"/>
        <w:rPr>
          <w:rFonts w:ascii="Tahoma" w:hAnsi="Tahoma" w:cs="Tahoma"/>
          <w:color w:val="1F2123"/>
          <w:w w:val="110"/>
          <w:lang w:val="sl-SI"/>
        </w:rPr>
      </w:pPr>
      <w:r w:rsidRPr="00E26E46">
        <w:rPr>
          <w:rFonts w:ascii="Tahoma" w:hAnsi="Tahoma" w:cs="Tahoma"/>
          <w:color w:val="1F2123"/>
          <w:w w:val="110"/>
          <w:lang w:val="sl-SI"/>
        </w:rPr>
        <w:t xml:space="preserve">Izbira načina, kako bodo posamezne banke izvajale presojo tveganj ESG ter kako bodo zbirale za to potrebne podatke, je prepuščen njihovi poslovni politiki, zato popolnega poenotenja na tem področju ni moč doseči, zaradi prednosti, ki jih prinaša standardizacija in digitalizacija na tem področju, pa bo delovna skupina </w:t>
      </w:r>
      <w:r w:rsidR="00671E7C" w:rsidRPr="00E26E46">
        <w:rPr>
          <w:rFonts w:ascii="Tahoma" w:hAnsi="Tahoma" w:cs="Tahoma"/>
          <w:color w:val="1F2123"/>
          <w:w w:val="110"/>
          <w:lang w:val="sl-SI"/>
        </w:rPr>
        <w:t xml:space="preserve">nadaljevala prizadevanja za iskanje možnosti za čim bolj učinkovito in bolj enotno zbiranje tovrstnih podatkov. Prav v ta namen je ZBS podalo pobudo za oblikovanje centralnega registra podatkov o ESG profilu podjetij, ki bi vsem </w:t>
      </w:r>
      <w:r w:rsidR="00EF7D70" w:rsidRPr="00E26E46">
        <w:rPr>
          <w:rFonts w:ascii="Tahoma" w:hAnsi="Tahoma" w:cs="Tahoma"/>
          <w:color w:val="1F2123"/>
          <w:w w:val="110"/>
          <w:lang w:val="sl-SI"/>
        </w:rPr>
        <w:t xml:space="preserve">zainteresiranim </w:t>
      </w:r>
      <w:r w:rsidR="00671E7C" w:rsidRPr="00E26E46">
        <w:rPr>
          <w:rFonts w:ascii="Tahoma" w:hAnsi="Tahoma" w:cs="Tahoma"/>
          <w:color w:val="1F2123"/>
          <w:w w:val="110"/>
          <w:lang w:val="sl-SI"/>
        </w:rPr>
        <w:t>deležnikom (ne samo bankam, ampak tudi drugim investitorjem, kupcem idr.) omogočal dostop do njih na način, ki bi podjetjem prinašal čim manjše administrativno breme</w:t>
      </w:r>
      <w:r w:rsidR="00EF7D70" w:rsidRPr="00E26E46">
        <w:rPr>
          <w:rFonts w:ascii="Tahoma" w:hAnsi="Tahoma" w:cs="Tahoma"/>
          <w:color w:val="1F2123"/>
          <w:w w:val="110"/>
          <w:lang w:val="sl-SI"/>
        </w:rPr>
        <w:t>.</w:t>
      </w:r>
    </w:p>
    <w:p w14:paraId="2982A585" w14:textId="1414BB8E" w:rsidR="00E26E46" w:rsidRDefault="00E26E46" w:rsidP="00B01872">
      <w:pPr>
        <w:pStyle w:val="BodyText"/>
        <w:spacing w:before="100" w:beforeAutospacing="1" w:after="100" w:afterAutospacing="1"/>
        <w:jc w:val="both"/>
        <w:rPr>
          <w:rFonts w:ascii="Tahoma" w:hAnsi="Tahoma" w:cs="Tahoma"/>
          <w:color w:val="1F2123"/>
          <w:w w:val="110"/>
          <w:lang w:val="sl-SI"/>
        </w:rPr>
      </w:pPr>
    </w:p>
    <w:p w14:paraId="7A6C0110" w14:textId="2C5AF71B" w:rsidR="00E26E46" w:rsidRPr="00E26E46" w:rsidRDefault="00E26E46" w:rsidP="00E26E46">
      <w:pPr>
        <w:pStyle w:val="BodyText"/>
        <w:spacing w:before="100" w:beforeAutospacing="1" w:after="100" w:afterAutospacing="1"/>
        <w:rPr>
          <w:rFonts w:ascii="Tahoma" w:hAnsi="Tahoma" w:cs="Tahoma"/>
          <w:color w:val="1F2123"/>
          <w:w w:val="110"/>
          <w:lang w:val="sl-SI"/>
        </w:rPr>
      </w:pPr>
      <w:r>
        <w:rPr>
          <w:rFonts w:ascii="Tahoma" w:hAnsi="Tahoma" w:cs="Tahoma"/>
          <w:color w:val="1F2123"/>
          <w:w w:val="110"/>
          <w:lang w:val="sl-SI"/>
        </w:rPr>
        <w:t>Združenje bank Slovenije</w:t>
      </w:r>
      <w:r>
        <w:rPr>
          <w:rFonts w:ascii="Tahoma" w:hAnsi="Tahoma" w:cs="Tahoma"/>
          <w:color w:val="1F2123"/>
          <w:w w:val="110"/>
          <w:lang w:val="sl-SI"/>
        </w:rPr>
        <w:br/>
        <w:t>Ljubljana, 24. januar 2023</w:t>
      </w:r>
    </w:p>
    <w:p w14:paraId="729C523E" w14:textId="22707187" w:rsidR="005D02E9" w:rsidRDefault="005D02E9" w:rsidP="00B01872">
      <w:pPr>
        <w:pStyle w:val="BodyText"/>
        <w:spacing w:before="100" w:beforeAutospacing="1" w:after="100" w:afterAutospacing="1"/>
        <w:jc w:val="both"/>
        <w:rPr>
          <w:rFonts w:ascii="Arial" w:hAnsi="Arial" w:cs="Arial"/>
          <w:color w:val="1F2123"/>
          <w:w w:val="110"/>
          <w:lang w:val="sl-SI"/>
        </w:rPr>
      </w:pPr>
    </w:p>
    <w:p w14:paraId="4EC0191D" w14:textId="77777777" w:rsidR="005D02E9" w:rsidRPr="00671E7C" w:rsidRDefault="005D02E9" w:rsidP="00B01872">
      <w:pPr>
        <w:pStyle w:val="BodyText"/>
        <w:spacing w:before="100" w:beforeAutospacing="1" w:after="100" w:afterAutospacing="1"/>
        <w:jc w:val="both"/>
        <w:rPr>
          <w:rFonts w:ascii="Arial" w:hAnsi="Arial" w:cs="Arial"/>
          <w:color w:val="1F2123"/>
          <w:w w:val="110"/>
          <w:lang w:val="sl-SI"/>
        </w:rPr>
      </w:pPr>
    </w:p>
    <w:p w14:paraId="114AD374" w14:textId="77777777" w:rsidR="00637A5B" w:rsidRPr="00C00BA8" w:rsidRDefault="00637A5B" w:rsidP="007F11EF">
      <w:pPr>
        <w:pStyle w:val="PlainText"/>
        <w:rPr>
          <w:rFonts w:ascii="Tahoma" w:hAnsi="Tahoma" w:cs="Tahoma"/>
        </w:rPr>
      </w:pPr>
    </w:p>
    <w:sectPr w:rsidR="00637A5B" w:rsidRPr="00C00BA8" w:rsidSect="00147AC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A733" w14:textId="77777777" w:rsidR="00F84C6D" w:rsidRDefault="00F84C6D" w:rsidP="008A60E7">
      <w:r>
        <w:separator/>
      </w:r>
    </w:p>
  </w:endnote>
  <w:endnote w:type="continuationSeparator" w:id="0">
    <w:p w14:paraId="3DE2F872" w14:textId="77777777" w:rsidR="00F84C6D" w:rsidRDefault="00F84C6D"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694E" w14:textId="77777777" w:rsidR="00671E7C" w:rsidRDefault="0067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FD684F" w:rsidRDefault="008A60E7" w:rsidP="00925D4E">
          <w:pPr>
            <w:pStyle w:val="Footer"/>
            <w:jc w:val="right"/>
            <w:rPr>
              <w:rFonts w:ascii="Arial" w:hAnsi="Arial" w:cs="Arial"/>
              <w:color w:val="808080"/>
              <w:sz w:val="18"/>
              <w:szCs w:val="18"/>
            </w:rPr>
          </w:pPr>
          <w:r w:rsidRPr="00FD684F">
            <w:rPr>
              <w:rFonts w:ascii="Arial" w:hAnsi="Arial" w:cs="Arial"/>
              <w:color w:val="808080"/>
              <w:sz w:val="18"/>
              <w:szCs w:val="18"/>
            </w:rPr>
            <w:t>PR koordinacija</w:t>
          </w:r>
        </w:p>
      </w:tc>
      <w:tc>
        <w:tcPr>
          <w:tcW w:w="2541" w:type="dxa"/>
        </w:tcPr>
        <w:p w14:paraId="44C262C1" w14:textId="1DF8E16C" w:rsidR="008A60E7" w:rsidRPr="00FD684F" w:rsidRDefault="007334A4" w:rsidP="00022B34">
          <w:pPr>
            <w:pStyle w:val="Footer"/>
            <w:rPr>
              <w:rFonts w:ascii="Arial" w:hAnsi="Arial" w:cs="Arial"/>
              <w:color w:val="808080"/>
              <w:sz w:val="16"/>
              <w:szCs w:val="16"/>
            </w:rPr>
          </w:pPr>
          <w:hyperlink r:id="rId1" w:history="1">
            <w:r w:rsidR="00022B34" w:rsidRPr="00FD684F">
              <w:rPr>
                <w:rStyle w:val="Hyperlink"/>
                <w:rFonts w:ascii="Arial" w:hAnsi="Arial" w:cs="Arial"/>
                <w:color w:val="808080"/>
                <w:sz w:val="16"/>
                <w:szCs w:val="16"/>
                <w:u w:val="none"/>
              </w:rPr>
              <w:t>aleksandra.zibrat@zbs-giz.si</w:t>
            </w:r>
          </w:hyperlink>
          <w:r w:rsidR="008A60E7" w:rsidRPr="00FD684F">
            <w:rPr>
              <w:rFonts w:ascii="Arial" w:hAnsi="Arial" w:cs="Arial"/>
              <w:color w:val="808080"/>
              <w:sz w:val="16"/>
              <w:szCs w:val="16"/>
            </w:rPr>
            <w:br/>
            <w:t>tel.</w:t>
          </w:r>
          <w:r w:rsidR="00E54434" w:rsidRPr="00FD684F">
            <w:rPr>
              <w:rFonts w:ascii="Arial" w:hAnsi="Arial" w:cs="Arial"/>
              <w:color w:val="808080"/>
              <w:sz w:val="16"/>
              <w:szCs w:val="16"/>
            </w:rPr>
            <w:t>:</w:t>
          </w:r>
          <w:r w:rsidR="008A60E7" w:rsidRPr="00FD684F">
            <w:rPr>
              <w:rFonts w:ascii="Arial" w:hAnsi="Arial" w:cs="Arial"/>
              <w:color w:val="808080"/>
              <w:sz w:val="16"/>
              <w:szCs w:val="16"/>
            </w:rPr>
            <w:t xml:space="preserve"> 01 24 29 758</w:t>
          </w:r>
          <w:r w:rsidR="00925D4E" w:rsidRPr="00FD684F">
            <w:rPr>
              <w:rFonts w:ascii="Arial" w:hAnsi="Arial" w:cs="Arial"/>
              <w:color w:val="808080"/>
              <w:sz w:val="16"/>
              <w:szCs w:val="16"/>
            </w:rPr>
            <w:t xml:space="preserve">, </w:t>
          </w:r>
          <w:r w:rsidR="008A60E7" w:rsidRPr="00FD684F">
            <w:rPr>
              <w:rFonts w:ascii="Arial" w:hAnsi="Arial" w:cs="Arial"/>
              <w:color w:val="808080"/>
              <w:sz w:val="16"/>
              <w:szCs w:val="16"/>
            </w:rPr>
            <w:t>031 716 589</w:t>
          </w:r>
          <w:r w:rsidR="00022B34" w:rsidRPr="00FD684F">
            <w:rPr>
              <w:rFonts w:ascii="Arial" w:hAnsi="Arial" w:cs="Arial"/>
              <w:color w:val="808080"/>
              <w:sz w:val="16"/>
              <w:szCs w:val="16"/>
            </w:rPr>
            <w:br/>
          </w:r>
          <w:hyperlink r:id="rId2" w:history="1">
            <w:r w:rsidR="00022B34" w:rsidRPr="00FD684F">
              <w:rPr>
                <w:rStyle w:val="Hyperlink"/>
                <w:rFonts w:ascii="Arial" w:hAnsi="Arial" w:cs="Arial"/>
                <w:color w:val="808080"/>
                <w:sz w:val="16"/>
                <w:szCs w:val="16"/>
                <w:u w:val="none"/>
              </w:rPr>
              <w:t>www.zbs-giz.si</w:t>
            </w:r>
          </w:hyperlink>
        </w:p>
      </w:tc>
    </w:tr>
  </w:tbl>
  <w:p w14:paraId="75502094" w14:textId="6A45285B" w:rsidR="008A60E7" w:rsidRDefault="008A60E7">
    <w:pPr>
      <w:pStyle w:val="Footer"/>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C6C" w14:textId="77777777" w:rsidR="00671E7C" w:rsidRDefault="0067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222D" w14:textId="77777777" w:rsidR="00F84C6D" w:rsidRDefault="00F84C6D" w:rsidP="008A60E7">
      <w:r>
        <w:separator/>
      </w:r>
    </w:p>
  </w:footnote>
  <w:footnote w:type="continuationSeparator" w:id="0">
    <w:p w14:paraId="7CEE76EF" w14:textId="77777777" w:rsidR="00F84C6D" w:rsidRDefault="00F84C6D" w:rsidP="008A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999" w14:textId="77777777" w:rsidR="00671E7C" w:rsidRDefault="00671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4D2B" w14:textId="38976A04" w:rsidR="00671E7C" w:rsidRDefault="00671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F2D" w14:textId="77777777" w:rsidR="00671E7C" w:rsidRDefault="00671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1F03018"/>
    <w:multiLevelType w:val="hybridMultilevel"/>
    <w:tmpl w:val="72FED9B2"/>
    <w:lvl w:ilvl="0" w:tplc="3062AAE0">
      <w:start w:val="1"/>
      <w:numFmt w:val="decimal"/>
      <w:lvlText w:val="%1."/>
      <w:lvlJc w:val="left"/>
      <w:pPr>
        <w:ind w:left="1904" w:hanging="247"/>
      </w:pPr>
      <w:rPr>
        <w:rFonts w:ascii="Times New Roman" w:eastAsia="Times New Roman" w:hAnsi="Times New Roman" w:cs="Times New Roman" w:hint="default"/>
        <w:color w:val="1F2123"/>
        <w:spacing w:val="-2"/>
        <w:w w:val="111"/>
        <w:sz w:val="22"/>
        <w:szCs w:val="22"/>
      </w:rPr>
    </w:lvl>
    <w:lvl w:ilvl="1" w:tplc="BDB2E300">
      <w:numFmt w:val="bullet"/>
      <w:lvlText w:val="□"/>
      <w:lvlJc w:val="left"/>
      <w:pPr>
        <w:ind w:left="2623" w:hanging="360"/>
      </w:pPr>
      <w:rPr>
        <w:rFonts w:ascii="Times New Roman" w:eastAsia="Times New Roman" w:hAnsi="Times New Roman" w:cs="Times New Roman" w:hint="default"/>
        <w:color w:val="1F2123"/>
        <w:w w:val="76"/>
        <w:sz w:val="22"/>
        <w:szCs w:val="22"/>
      </w:rPr>
    </w:lvl>
    <w:lvl w:ilvl="2" w:tplc="0AE8B28C">
      <w:numFmt w:val="bullet"/>
      <w:lvlText w:val="•"/>
      <w:lvlJc w:val="left"/>
      <w:pPr>
        <w:ind w:left="3482" w:hanging="360"/>
      </w:pPr>
      <w:rPr>
        <w:rFonts w:hint="default"/>
      </w:rPr>
    </w:lvl>
    <w:lvl w:ilvl="3" w:tplc="24E0F298">
      <w:numFmt w:val="bullet"/>
      <w:lvlText w:val="•"/>
      <w:lvlJc w:val="left"/>
      <w:pPr>
        <w:ind w:left="4345" w:hanging="360"/>
      </w:pPr>
      <w:rPr>
        <w:rFonts w:hint="default"/>
      </w:rPr>
    </w:lvl>
    <w:lvl w:ilvl="4" w:tplc="39E09262">
      <w:numFmt w:val="bullet"/>
      <w:lvlText w:val="•"/>
      <w:lvlJc w:val="left"/>
      <w:pPr>
        <w:ind w:left="5208" w:hanging="360"/>
      </w:pPr>
      <w:rPr>
        <w:rFonts w:hint="default"/>
      </w:rPr>
    </w:lvl>
    <w:lvl w:ilvl="5" w:tplc="34F0539C">
      <w:numFmt w:val="bullet"/>
      <w:lvlText w:val="•"/>
      <w:lvlJc w:val="left"/>
      <w:pPr>
        <w:ind w:left="6071" w:hanging="360"/>
      </w:pPr>
      <w:rPr>
        <w:rFonts w:hint="default"/>
      </w:rPr>
    </w:lvl>
    <w:lvl w:ilvl="6" w:tplc="E23EEC90">
      <w:numFmt w:val="bullet"/>
      <w:lvlText w:val="•"/>
      <w:lvlJc w:val="left"/>
      <w:pPr>
        <w:ind w:left="6934" w:hanging="360"/>
      </w:pPr>
      <w:rPr>
        <w:rFonts w:hint="default"/>
      </w:rPr>
    </w:lvl>
    <w:lvl w:ilvl="7" w:tplc="08B68636">
      <w:numFmt w:val="bullet"/>
      <w:lvlText w:val="•"/>
      <w:lvlJc w:val="left"/>
      <w:pPr>
        <w:ind w:left="7797" w:hanging="360"/>
      </w:pPr>
      <w:rPr>
        <w:rFonts w:hint="default"/>
      </w:rPr>
    </w:lvl>
    <w:lvl w:ilvl="8" w:tplc="57AA838A">
      <w:numFmt w:val="bullet"/>
      <w:lvlText w:val="•"/>
      <w:lvlJc w:val="left"/>
      <w:pPr>
        <w:ind w:left="8660" w:hanging="360"/>
      </w:pPr>
      <w:rPr>
        <w:rFonts w:hint="default"/>
      </w:rPr>
    </w:lvl>
  </w:abstractNum>
  <w:abstractNum w:abstractNumId="8"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B24CC7"/>
    <w:multiLevelType w:val="hybridMultilevel"/>
    <w:tmpl w:val="6316E1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156AFE"/>
    <w:multiLevelType w:val="hybridMultilevel"/>
    <w:tmpl w:val="E05CC89C"/>
    <w:lvl w:ilvl="0" w:tplc="7F28BB7E">
      <w:numFmt w:val="bullet"/>
      <w:lvlText w:val="-"/>
      <w:lvlJc w:val="left"/>
      <w:pPr>
        <w:ind w:left="1915" w:hanging="360"/>
      </w:pPr>
      <w:rPr>
        <w:rFonts w:ascii="Times New Roman" w:eastAsia="Times New Roman" w:hAnsi="Times New Roman" w:cs="Times New Roman" w:hint="default"/>
        <w:color w:val="1F2123"/>
        <w:w w:val="100"/>
        <w:sz w:val="22"/>
        <w:szCs w:val="22"/>
      </w:rPr>
    </w:lvl>
    <w:lvl w:ilvl="1" w:tplc="75443AD6">
      <w:numFmt w:val="bullet"/>
      <w:lvlText w:val="•"/>
      <w:lvlJc w:val="left"/>
      <w:pPr>
        <w:ind w:left="2766" w:hanging="360"/>
      </w:pPr>
      <w:rPr>
        <w:rFonts w:hint="default"/>
      </w:rPr>
    </w:lvl>
    <w:lvl w:ilvl="2" w:tplc="B4744E6C">
      <w:numFmt w:val="bullet"/>
      <w:lvlText w:val="•"/>
      <w:lvlJc w:val="left"/>
      <w:pPr>
        <w:ind w:left="3613" w:hanging="360"/>
      </w:pPr>
      <w:rPr>
        <w:rFonts w:hint="default"/>
      </w:rPr>
    </w:lvl>
    <w:lvl w:ilvl="3" w:tplc="1520ED62">
      <w:numFmt w:val="bullet"/>
      <w:lvlText w:val="•"/>
      <w:lvlJc w:val="left"/>
      <w:pPr>
        <w:ind w:left="4459" w:hanging="360"/>
      </w:pPr>
      <w:rPr>
        <w:rFonts w:hint="default"/>
      </w:rPr>
    </w:lvl>
    <w:lvl w:ilvl="4" w:tplc="63E81F68">
      <w:numFmt w:val="bullet"/>
      <w:lvlText w:val="•"/>
      <w:lvlJc w:val="left"/>
      <w:pPr>
        <w:ind w:left="5306" w:hanging="360"/>
      </w:pPr>
      <w:rPr>
        <w:rFonts w:hint="default"/>
      </w:rPr>
    </w:lvl>
    <w:lvl w:ilvl="5" w:tplc="5E3ECC26">
      <w:numFmt w:val="bullet"/>
      <w:lvlText w:val="•"/>
      <w:lvlJc w:val="left"/>
      <w:pPr>
        <w:ind w:left="6153" w:hanging="360"/>
      </w:pPr>
      <w:rPr>
        <w:rFonts w:hint="default"/>
      </w:rPr>
    </w:lvl>
    <w:lvl w:ilvl="6" w:tplc="6284D3D0">
      <w:numFmt w:val="bullet"/>
      <w:lvlText w:val="•"/>
      <w:lvlJc w:val="left"/>
      <w:pPr>
        <w:ind w:left="6999" w:hanging="360"/>
      </w:pPr>
      <w:rPr>
        <w:rFonts w:hint="default"/>
      </w:rPr>
    </w:lvl>
    <w:lvl w:ilvl="7" w:tplc="6F7A2A8C">
      <w:numFmt w:val="bullet"/>
      <w:lvlText w:val="•"/>
      <w:lvlJc w:val="left"/>
      <w:pPr>
        <w:ind w:left="7846" w:hanging="360"/>
      </w:pPr>
      <w:rPr>
        <w:rFonts w:hint="default"/>
      </w:rPr>
    </w:lvl>
    <w:lvl w:ilvl="8" w:tplc="C9FEAB4C">
      <w:numFmt w:val="bullet"/>
      <w:lvlText w:val="•"/>
      <w:lvlJc w:val="left"/>
      <w:pPr>
        <w:ind w:left="8693" w:hanging="360"/>
      </w:pPr>
      <w:rPr>
        <w:rFonts w:hint="default"/>
      </w:rPr>
    </w:lvl>
  </w:abstractNum>
  <w:abstractNum w:abstractNumId="14"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C180442"/>
    <w:multiLevelType w:val="hybridMultilevel"/>
    <w:tmpl w:val="303E29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1521B6"/>
    <w:multiLevelType w:val="hybridMultilevel"/>
    <w:tmpl w:val="0464F1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53F25AD"/>
    <w:multiLevelType w:val="hybridMultilevel"/>
    <w:tmpl w:val="44B2C044"/>
    <w:lvl w:ilvl="0" w:tplc="7E7CCCDA">
      <w:start w:val="2"/>
      <w:numFmt w:val="decimal"/>
      <w:lvlText w:val="%1."/>
      <w:lvlJc w:val="left"/>
      <w:pPr>
        <w:ind w:left="1196" w:hanging="316"/>
      </w:pPr>
      <w:rPr>
        <w:rFonts w:hint="default"/>
        <w:w w:val="111"/>
      </w:rPr>
    </w:lvl>
    <w:lvl w:ilvl="1" w:tplc="5762C622">
      <w:start w:val="1"/>
      <w:numFmt w:val="decimal"/>
      <w:lvlText w:val="%2)"/>
      <w:lvlJc w:val="left"/>
      <w:pPr>
        <w:ind w:left="1916" w:hanging="360"/>
      </w:pPr>
      <w:rPr>
        <w:rFonts w:hint="default"/>
        <w:w w:val="100"/>
      </w:rPr>
    </w:lvl>
    <w:lvl w:ilvl="2" w:tplc="90C2DF3A">
      <w:numFmt w:val="bullet"/>
      <w:lvlText w:val="•"/>
      <w:lvlJc w:val="left"/>
      <w:pPr>
        <w:ind w:left="2860" w:hanging="360"/>
      </w:pPr>
      <w:rPr>
        <w:rFonts w:hint="default"/>
      </w:rPr>
    </w:lvl>
    <w:lvl w:ilvl="3" w:tplc="3B58FA5C">
      <w:numFmt w:val="bullet"/>
      <w:lvlText w:val="•"/>
      <w:lvlJc w:val="left"/>
      <w:pPr>
        <w:ind w:left="3801" w:hanging="360"/>
      </w:pPr>
      <w:rPr>
        <w:rFonts w:hint="default"/>
      </w:rPr>
    </w:lvl>
    <w:lvl w:ilvl="4" w:tplc="52A04978">
      <w:numFmt w:val="bullet"/>
      <w:lvlText w:val="•"/>
      <w:lvlJc w:val="left"/>
      <w:pPr>
        <w:ind w:left="4742" w:hanging="360"/>
      </w:pPr>
      <w:rPr>
        <w:rFonts w:hint="default"/>
      </w:rPr>
    </w:lvl>
    <w:lvl w:ilvl="5" w:tplc="FA7282A4">
      <w:numFmt w:val="bullet"/>
      <w:lvlText w:val="•"/>
      <w:lvlJc w:val="left"/>
      <w:pPr>
        <w:ind w:left="5682" w:hanging="360"/>
      </w:pPr>
      <w:rPr>
        <w:rFonts w:hint="default"/>
      </w:rPr>
    </w:lvl>
    <w:lvl w:ilvl="6" w:tplc="5A7CD39A">
      <w:numFmt w:val="bullet"/>
      <w:lvlText w:val="•"/>
      <w:lvlJc w:val="left"/>
      <w:pPr>
        <w:ind w:left="6623" w:hanging="360"/>
      </w:pPr>
      <w:rPr>
        <w:rFonts w:hint="default"/>
      </w:rPr>
    </w:lvl>
    <w:lvl w:ilvl="7" w:tplc="5B380836">
      <w:numFmt w:val="bullet"/>
      <w:lvlText w:val="•"/>
      <w:lvlJc w:val="left"/>
      <w:pPr>
        <w:ind w:left="7564" w:hanging="360"/>
      </w:pPr>
      <w:rPr>
        <w:rFonts w:hint="default"/>
      </w:rPr>
    </w:lvl>
    <w:lvl w:ilvl="8" w:tplc="456CA166">
      <w:numFmt w:val="bullet"/>
      <w:lvlText w:val="•"/>
      <w:lvlJc w:val="left"/>
      <w:pPr>
        <w:ind w:left="8504" w:hanging="360"/>
      </w:pPr>
      <w:rPr>
        <w:rFonts w:hint="default"/>
      </w:rPr>
    </w:lvl>
  </w:abstractNum>
  <w:abstractNum w:abstractNumId="18"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5A35A0"/>
    <w:multiLevelType w:val="hybridMultilevel"/>
    <w:tmpl w:val="7B667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1D346A"/>
    <w:multiLevelType w:val="hybridMultilevel"/>
    <w:tmpl w:val="010EC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F534A"/>
    <w:multiLevelType w:val="hybridMultilevel"/>
    <w:tmpl w:val="F84C3282"/>
    <w:lvl w:ilvl="0" w:tplc="144E565E">
      <w:start w:val="1"/>
      <w:numFmt w:val="decimal"/>
      <w:lvlText w:val="%1)"/>
      <w:lvlJc w:val="left"/>
      <w:pPr>
        <w:ind w:left="1916" w:hanging="360"/>
      </w:pPr>
      <w:rPr>
        <w:rFonts w:ascii="Times New Roman" w:eastAsia="Times New Roman" w:hAnsi="Times New Roman" w:cs="Times New Roman" w:hint="default"/>
        <w:spacing w:val="-2"/>
        <w:w w:val="100"/>
        <w:sz w:val="22"/>
        <w:szCs w:val="22"/>
      </w:rPr>
    </w:lvl>
    <w:lvl w:ilvl="1" w:tplc="AC104E0A">
      <w:numFmt w:val="bullet"/>
      <w:lvlText w:val="•"/>
      <w:lvlJc w:val="left"/>
      <w:pPr>
        <w:ind w:left="2766" w:hanging="360"/>
      </w:pPr>
      <w:rPr>
        <w:rFonts w:hint="default"/>
      </w:rPr>
    </w:lvl>
    <w:lvl w:ilvl="2" w:tplc="34F88686">
      <w:numFmt w:val="bullet"/>
      <w:lvlText w:val="•"/>
      <w:lvlJc w:val="left"/>
      <w:pPr>
        <w:ind w:left="3613" w:hanging="360"/>
      </w:pPr>
      <w:rPr>
        <w:rFonts w:hint="default"/>
      </w:rPr>
    </w:lvl>
    <w:lvl w:ilvl="3" w:tplc="5DD8BE8A">
      <w:numFmt w:val="bullet"/>
      <w:lvlText w:val="•"/>
      <w:lvlJc w:val="left"/>
      <w:pPr>
        <w:ind w:left="4459" w:hanging="360"/>
      </w:pPr>
      <w:rPr>
        <w:rFonts w:hint="default"/>
      </w:rPr>
    </w:lvl>
    <w:lvl w:ilvl="4" w:tplc="6D1C4D36">
      <w:numFmt w:val="bullet"/>
      <w:lvlText w:val="•"/>
      <w:lvlJc w:val="left"/>
      <w:pPr>
        <w:ind w:left="5306" w:hanging="360"/>
      </w:pPr>
      <w:rPr>
        <w:rFonts w:hint="default"/>
      </w:rPr>
    </w:lvl>
    <w:lvl w:ilvl="5" w:tplc="6F74433C">
      <w:numFmt w:val="bullet"/>
      <w:lvlText w:val="•"/>
      <w:lvlJc w:val="left"/>
      <w:pPr>
        <w:ind w:left="6153" w:hanging="360"/>
      </w:pPr>
      <w:rPr>
        <w:rFonts w:hint="default"/>
      </w:rPr>
    </w:lvl>
    <w:lvl w:ilvl="6" w:tplc="B49C7A72">
      <w:numFmt w:val="bullet"/>
      <w:lvlText w:val="•"/>
      <w:lvlJc w:val="left"/>
      <w:pPr>
        <w:ind w:left="6999" w:hanging="360"/>
      </w:pPr>
      <w:rPr>
        <w:rFonts w:hint="default"/>
      </w:rPr>
    </w:lvl>
    <w:lvl w:ilvl="7" w:tplc="CF8475E8">
      <w:numFmt w:val="bullet"/>
      <w:lvlText w:val="•"/>
      <w:lvlJc w:val="left"/>
      <w:pPr>
        <w:ind w:left="7846" w:hanging="360"/>
      </w:pPr>
      <w:rPr>
        <w:rFonts w:hint="default"/>
      </w:rPr>
    </w:lvl>
    <w:lvl w:ilvl="8" w:tplc="EA264D96">
      <w:numFmt w:val="bullet"/>
      <w:lvlText w:val="•"/>
      <w:lvlJc w:val="left"/>
      <w:pPr>
        <w:ind w:left="8693" w:hanging="360"/>
      </w:pPr>
      <w:rPr>
        <w:rFonts w:hint="default"/>
      </w:rPr>
    </w:lvl>
  </w:abstractNum>
  <w:abstractNum w:abstractNumId="24" w15:restartNumberingAfterBreak="0">
    <w:nsid w:val="66EE062C"/>
    <w:multiLevelType w:val="hybridMultilevel"/>
    <w:tmpl w:val="1070E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77CD4577"/>
    <w:multiLevelType w:val="hybridMultilevel"/>
    <w:tmpl w:val="7696D206"/>
    <w:lvl w:ilvl="0" w:tplc="A6AEF52C">
      <w:start w:val="4"/>
      <w:numFmt w:val="decimal"/>
      <w:lvlText w:val="(%1)"/>
      <w:lvlJc w:val="left"/>
      <w:pPr>
        <w:ind w:left="1916" w:hanging="361"/>
      </w:pPr>
      <w:rPr>
        <w:rFonts w:hint="default"/>
        <w:spacing w:val="-2"/>
        <w:w w:val="100"/>
      </w:rPr>
    </w:lvl>
    <w:lvl w:ilvl="1" w:tplc="3856BF02">
      <w:start w:val="1"/>
      <w:numFmt w:val="lowerLetter"/>
      <w:lvlText w:val="%2."/>
      <w:lvlJc w:val="left"/>
      <w:pPr>
        <w:ind w:left="2636" w:hanging="360"/>
      </w:pPr>
      <w:rPr>
        <w:rFonts w:ascii="Times New Roman" w:eastAsia="Times New Roman" w:hAnsi="Times New Roman" w:cs="Times New Roman" w:hint="default"/>
        <w:spacing w:val="-2"/>
        <w:w w:val="111"/>
        <w:sz w:val="22"/>
        <w:szCs w:val="22"/>
      </w:rPr>
    </w:lvl>
    <w:lvl w:ilvl="2" w:tplc="46441404">
      <w:numFmt w:val="bullet"/>
      <w:lvlText w:val="•"/>
      <w:lvlJc w:val="left"/>
      <w:pPr>
        <w:ind w:left="3500" w:hanging="360"/>
      </w:pPr>
      <w:rPr>
        <w:rFonts w:hint="default"/>
      </w:rPr>
    </w:lvl>
    <w:lvl w:ilvl="3" w:tplc="43DCBE68">
      <w:numFmt w:val="bullet"/>
      <w:lvlText w:val="•"/>
      <w:lvlJc w:val="left"/>
      <w:pPr>
        <w:ind w:left="4361" w:hanging="360"/>
      </w:pPr>
      <w:rPr>
        <w:rFonts w:hint="default"/>
      </w:rPr>
    </w:lvl>
    <w:lvl w:ilvl="4" w:tplc="3AD2FF08">
      <w:numFmt w:val="bullet"/>
      <w:lvlText w:val="•"/>
      <w:lvlJc w:val="left"/>
      <w:pPr>
        <w:ind w:left="5222" w:hanging="360"/>
      </w:pPr>
      <w:rPr>
        <w:rFonts w:hint="default"/>
      </w:rPr>
    </w:lvl>
    <w:lvl w:ilvl="5" w:tplc="6CA211D8">
      <w:numFmt w:val="bullet"/>
      <w:lvlText w:val="•"/>
      <w:lvlJc w:val="left"/>
      <w:pPr>
        <w:ind w:left="6082" w:hanging="360"/>
      </w:pPr>
      <w:rPr>
        <w:rFonts w:hint="default"/>
      </w:rPr>
    </w:lvl>
    <w:lvl w:ilvl="6" w:tplc="04F0B25E">
      <w:numFmt w:val="bullet"/>
      <w:lvlText w:val="•"/>
      <w:lvlJc w:val="left"/>
      <w:pPr>
        <w:ind w:left="6943" w:hanging="360"/>
      </w:pPr>
      <w:rPr>
        <w:rFonts w:hint="default"/>
      </w:rPr>
    </w:lvl>
    <w:lvl w:ilvl="7" w:tplc="4A54F728">
      <w:numFmt w:val="bullet"/>
      <w:lvlText w:val="•"/>
      <w:lvlJc w:val="left"/>
      <w:pPr>
        <w:ind w:left="7804" w:hanging="360"/>
      </w:pPr>
      <w:rPr>
        <w:rFonts w:hint="default"/>
      </w:rPr>
    </w:lvl>
    <w:lvl w:ilvl="8" w:tplc="7882AC76">
      <w:numFmt w:val="bullet"/>
      <w:lvlText w:val="•"/>
      <w:lvlJc w:val="left"/>
      <w:pPr>
        <w:ind w:left="8664" w:hanging="360"/>
      </w:pPr>
      <w:rPr>
        <w:rFonts w:hint="default"/>
      </w:rPr>
    </w:lvl>
  </w:abstractNum>
  <w:abstractNum w:abstractNumId="29"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76904863">
    <w:abstractNumId w:val="2"/>
  </w:num>
  <w:num w:numId="2" w16cid:durableId="1709601156">
    <w:abstractNumId w:val="6"/>
  </w:num>
  <w:num w:numId="3" w16cid:durableId="2019963076">
    <w:abstractNumId w:val="5"/>
  </w:num>
  <w:num w:numId="4" w16cid:durableId="837425858">
    <w:abstractNumId w:val="3"/>
  </w:num>
  <w:num w:numId="5" w16cid:durableId="1525752527">
    <w:abstractNumId w:val="8"/>
  </w:num>
  <w:num w:numId="6" w16cid:durableId="1533765482">
    <w:abstractNumId w:val="21"/>
  </w:num>
  <w:num w:numId="7" w16cid:durableId="1209413744">
    <w:abstractNumId w:val="18"/>
  </w:num>
  <w:num w:numId="8" w16cid:durableId="44263649">
    <w:abstractNumId w:val="29"/>
  </w:num>
  <w:num w:numId="9" w16cid:durableId="775715057">
    <w:abstractNumId w:val="4"/>
  </w:num>
  <w:num w:numId="10" w16cid:durableId="1276248341">
    <w:abstractNumId w:val="30"/>
  </w:num>
  <w:num w:numId="11" w16cid:durableId="1584026902">
    <w:abstractNumId w:val="10"/>
  </w:num>
  <w:num w:numId="12" w16cid:durableId="168981749">
    <w:abstractNumId w:val="0"/>
  </w:num>
  <w:num w:numId="13" w16cid:durableId="1011107533">
    <w:abstractNumId w:val="27"/>
  </w:num>
  <w:num w:numId="14" w16cid:durableId="567617091">
    <w:abstractNumId w:val="14"/>
  </w:num>
  <w:num w:numId="15" w16cid:durableId="669527400">
    <w:abstractNumId w:val="9"/>
  </w:num>
  <w:num w:numId="16" w16cid:durableId="815335623">
    <w:abstractNumId w:val="26"/>
  </w:num>
  <w:num w:numId="17" w16cid:durableId="1593314382">
    <w:abstractNumId w:val="19"/>
  </w:num>
  <w:num w:numId="18" w16cid:durableId="36778317">
    <w:abstractNumId w:val="25"/>
  </w:num>
  <w:num w:numId="19" w16cid:durableId="1968198250">
    <w:abstractNumId w:val="1"/>
  </w:num>
  <w:num w:numId="20" w16cid:durableId="116267259">
    <w:abstractNumId w:val="12"/>
  </w:num>
  <w:num w:numId="21" w16cid:durableId="1568304174">
    <w:abstractNumId w:val="23"/>
  </w:num>
  <w:num w:numId="22" w16cid:durableId="2134521060">
    <w:abstractNumId w:val="17"/>
  </w:num>
  <w:num w:numId="23" w16cid:durableId="214047158">
    <w:abstractNumId w:val="7"/>
  </w:num>
  <w:num w:numId="24" w16cid:durableId="102581980">
    <w:abstractNumId w:val="13"/>
  </w:num>
  <w:num w:numId="25" w16cid:durableId="618219032">
    <w:abstractNumId w:val="15"/>
  </w:num>
  <w:num w:numId="26" w16cid:durableId="1852795166">
    <w:abstractNumId w:val="24"/>
  </w:num>
  <w:num w:numId="27" w16cid:durableId="889266660">
    <w:abstractNumId w:val="22"/>
  </w:num>
  <w:num w:numId="28" w16cid:durableId="2120102095">
    <w:abstractNumId w:val="11"/>
  </w:num>
  <w:num w:numId="29" w16cid:durableId="1530680494">
    <w:abstractNumId w:val="16"/>
  </w:num>
  <w:num w:numId="30" w16cid:durableId="320355330">
    <w:abstractNumId w:val="20"/>
  </w:num>
  <w:num w:numId="31" w16cid:durableId="1183546684">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3322"/>
    <w:rsid w:val="00022B34"/>
    <w:rsid w:val="000319D9"/>
    <w:rsid w:val="000409A2"/>
    <w:rsid w:val="00050C24"/>
    <w:rsid w:val="00053111"/>
    <w:rsid w:val="000564AC"/>
    <w:rsid w:val="00057889"/>
    <w:rsid w:val="0007291D"/>
    <w:rsid w:val="000732E6"/>
    <w:rsid w:val="00075CE5"/>
    <w:rsid w:val="00080366"/>
    <w:rsid w:val="00081593"/>
    <w:rsid w:val="000831B9"/>
    <w:rsid w:val="00087A31"/>
    <w:rsid w:val="00092D28"/>
    <w:rsid w:val="000A04E5"/>
    <w:rsid w:val="000C3CC0"/>
    <w:rsid w:val="000C6432"/>
    <w:rsid w:val="000C79D6"/>
    <w:rsid w:val="000D2194"/>
    <w:rsid w:val="000D29B0"/>
    <w:rsid w:val="000E0EC9"/>
    <w:rsid w:val="00106678"/>
    <w:rsid w:val="00111A60"/>
    <w:rsid w:val="00116C60"/>
    <w:rsid w:val="00122885"/>
    <w:rsid w:val="001233A2"/>
    <w:rsid w:val="00125F3E"/>
    <w:rsid w:val="001312C9"/>
    <w:rsid w:val="001407F3"/>
    <w:rsid w:val="00143DC0"/>
    <w:rsid w:val="00143EE1"/>
    <w:rsid w:val="00147AC9"/>
    <w:rsid w:val="00151891"/>
    <w:rsid w:val="00155E5B"/>
    <w:rsid w:val="0016329F"/>
    <w:rsid w:val="00165474"/>
    <w:rsid w:val="00170D53"/>
    <w:rsid w:val="0017185A"/>
    <w:rsid w:val="00173C93"/>
    <w:rsid w:val="00175151"/>
    <w:rsid w:val="00180D66"/>
    <w:rsid w:val="0018222A"/>
    <w:rsid w:val="00184CCC"/>
    <w:rsid w:val="0018594C"/>
    <w:rsid w:val="00191FA1"/>
    <w:rsid w:val="001A26F6"/>
    <w:rsid w:val="001A4406"/>
    <w:rsid w:val="001A7293"/>
    <w:rsid w:val="001B1E19"/>
    <w:rsid w:val="001B43DE"/>
    <w:rsid w:val="001B4B78"/>
    <w:rsid w:val="001C5CC9"/>
    <w:rsid w:val="001C60DF"/>
    <w:rsid w:val="001D2625"/>
    <w:rsid w:val="001E0A73"/>
    <w:rsid w:val="001F152D"/>
    <w:rsid w:val="001F34D9"/>
    <w:rsid w:val="001F3C74"/>
    <w:rsid w:val="002009E7"/>
    <w:rsid w:val="00201F72"/>
    <w:rsid w:val="00214A45"/>
    <w:rsid w:val="00214C09"/>
    <w:rsid w:val="00220317"/>
    <w:rsid w:val="00225CFA"/>
    <w:rsid w:val="002278C7"/>
    <w:rsid w:val="00230BEE"/>
    <w:rsid w:val="00234891"/>
    <w:rsid w:val="00237080"/>
    <w:rsid w:val="002374C2"/>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E3098"/>
    <w:rsid w:val="002E3CBC"/>
    <w:rsid w:val="00305C59"/>
    <w:rsid w:val="00311C0D"/>
    <w:rsid w:val="003124D7"/>
    <w:rsid w:val="00313D10"/>
    <w:rsid w:val="003140A8"/>
    <w:rsid w:val="00316BD7"/>
    <w:rsid w:val="00317914"/>
    <w:rsid w:val="00324382"/>
    <w:rsid w:val="00332549"/>
    <w:rsid w:val="00343076"/>
    <w:rsid w:val="0034633B"/>
    <w:rsid w:val="00350E41"/>
    <w:rsid w:val="00351B78"/>
    <w:rsid w:val="00353035"/>
    <w:rsid w:val="00355F5F"/>
    <w:rsid w:val="00357517"/>
    <w:rsid w:val="0036336F"/>
    <w:rsid w:val="00363CEE"/>
    <w:rsid w:val="00366C35"/>
    <w:rsid w:val="00371AAC"/>
    <w:rsid w:val="00381179"/>
    <w:rsid w:val="0038572F"/>
    <w:rsid w:val="00385A86"/>
    <w:rsid w:val="003A332E"/>
    <w:rsid w:val="003A473A"/>
    <w:rsid w:val="003C1A36"/>
    <w:rsid w:val="003D34EA"/>
    <w:rsid w:val="003E2EB1"/>
    <w:rsid w:val="003F18AE"/>
    <w:rsid w:val="003F46C0"/>
    <w:rsid w:val="003F5BA8"/>
    <w:rsid w:val="003F7BF6"/>
    <w:rsid w:val="003F7C8E"/>
    <w:rsid w:val="00403E84"/>
    <w:rsid w:val="004124CE"/>
    <w:rsid w:val="00417323"/>
    <w:rsid w:val="00430EF8"/>
    <w:rsid w:val="004314C3"/>
    <w:rsid w:val="00465227"/>
    <w:rsid w:val="00473D9F"/>
    <w:rsid w:val="00477854"/>
    <w:rsid w:val="00481104"/>
    <w:rsid w:val="004811CF"/>
    <w:rsid w:val="004830B9"/>
    <w:rsid w:val="0048434F"/>
    <w:rsid w:val="00490818"/>
    <w:rsid w:val="00492FBB"/>
    <w:rsid w:val="004952B0"/>
    <w:rsid w:val="004A0929"/>
    <w:rsid w:val="004B110B"/>
    <w:rsid w:val="004B1BBB"/>
    <w:rsid w:val="004B7887"/>
    <w:rsid w:val="004C1BB4"/>
    <w:rsid w:val="004C51E6"/>
    <w:rsid w:val="004C51FB"/>
    <w:rsid w:val="004D2491"/>
    <w:rsid w:val="004D6619"/>
    <w:rsid w:val="004E0D85"/>
    <w:rsid w:val="005036B8"/>
    <w:rsid w:val="0050514B"/>
    <w:rsid w:val="00507048"/>
    <w:rsid w:val="00510B38"/>
    <w:rsid w:val="00512667"/>
    <w:rsid w:val="0051733A"/>
    <w:rsid w:val="00517690"/>
    <w:rsid w:val="0052178D"/>
    <w:rsid w:val="00522A3C"/>
    <w:rsid w:val="005268AA"/>
    <w:rsid w:val="00531987"/>
    <w:rsid w:val="005321CA"/>
    <w:rsid w:val="00533C36"/>
    <w:rsid w:val="005418A1"/>
    <w:rsid w:val="00542931"/>
    <w:rsid w:val="005447FD"/>
    <w:rsid w:val="00552717"/>
    <w:rsid w:val="00556840"/>
    <w:rsid w:val="00557D07"/>
    <w:rsid w:val="005612A6"/>
    <w:rsid w:val="00561A96"/>
    <w:rsid w:val="00561DAF"/>
    <w:rsid w:val="005622ED"/>
    <w:rsid w:val="00562698"/>
    <w:rsid w:val="00570440"/>
    <w:rsid w:val="005715CA"/>
    <w:rsid w:val="00576FBD"/>
    <w:rsid w:val="00577B67"/>
    <w:rsid w:val="00581A28"/>
    <w:rsid w:val="00582D80"/>
    <w:rsid w:val="00586728"/>
    <w:rsid w:val="005A0B06"/>
    <w:rsid w:val="005A51BA"/>
    <w:rsid w:val="005A7266"/>
    <w:rsid w:val="005B2F6C"/>
    <w:rsid w:val="005B3FE4"/>
    <w:rsid w:val="005B7F7E"/>
    <w:rsid w:val="005C26D1"/>
    <w:rsid w:val="005D02E9"/>
    <w:rsid w:val="005D3C1E"/>
    <w:rsid w:val="005E76D1"/>
    <w:rsid w:val="00602EC5"/>
    <w:rsid w:val="00611208"/>
    <w:rsid w:val="006120B0"/>
    <w:rsid w:val="00616CF3"/>
    <w:rsid w:val="006369E2"/>
    <w:rsid w:val="00637A5B"/>
    <w:rsid w:val="00641755"/>
    <w:rsid w:val="00641B39"/>
    <w:rsid w:val="00651B84"/>
    <w:rsid w:val="00651E97"/>
    <w:rsid w:val="00651EB7"/>
    <w:rsid w:val="00655BEF"/>
    <w:rsid w:val="006625B6"/>
    <w:rsid w:val="00664641"/>
    <w:rsid w:val="00671040"/>
    <w:rsid w:val="006719BC"/>
    <w:rsid w:val="00671BC9"/>
    <w:rsid w:val="00671E7C"/>
    <w:rsid w:val="00672A03"/>
    <w:rsid w:val="00672B35"/>
    <w:rsid w:val="006734EB"/>
    <w:rsid w:val="006770C1"/>
    <w:rsid w:val="00683429"/>
    <w:rsid w:val="00683F05"/>
    <w:rsid w:val="00685AEC"/>
    <w:rsid w:val="00687FBE"/>
    <w:rsid w:val="00694E85"/>
    <w:rsid w:val="006A0AFB"/>
    <w:rsid w:val="006A7552"/>
    <w:rsid w:val="006B1D5E"/>
    <w:rsid w:val="006B583A"/>
    <w:rsid w:val="006B68E7"/>
    <w:rsid w:val="006C0598"/>
    <w:rsid w:val="006C7178"/>
    <w:rsid w:val="006D6444"/>
    <w:rsid w:val="006E2B26"/>
    <w:rsid w:val="006F24C9"/>
    <w:rsid w:val="00700D73"/>
    <w:rsid w:val="007238BD"/>
    <w:rsid w:val="007334A4"/>
    <w:rsid w:val="007347ED"/>
    <w:rsid w:val="007376AB"/>
    <w:rsid w:val="00745219"/>
    <w:rsid w:val="00745CB7"/>
    <w:rsid w:val="007467DC"/>
    <w:rsid w:val="007532DC"/>
    <w:rsid w:val="00757D7E"/>
    <w:rsid w:val="0076220B"/>
    <w:rsid w:val="0077410E"/>
    <w:rsid w:val="00780049"/>
    <w:rsid w:val="007830A8"/>
    <w:rsid w:val="00785DB5"/>
    <w:rsid w:val="0079226A"/>
    <w:rsid w:val="00796E8D"/>
    <w:rsid w:val="007C2A07"/>
    <w:rsid w:val="007C4430"/>
    <w:rsid w:val="007C5594"/>
    <w:rsid w:val="007D0C4C"/>
    <w:rsid w:val="007D3B79"/>
    <w:rsid w:val="007D4DA3"/>
    <w:rsid w:val="007E065A"/>
    <w:rsid w:val="007F11EF"/>
    <w:rsid w:val="007F1BC0"/>
    <w:rsid w:val="007F36E8"/>
    <w:rsid w:val="00805D67"/>
    <w:rsid w:val="0081105B"/>
    <w:rsid w:val="0082007F"/>
    <w:rsid w:val="008221A1"/>
    <w:rsid w:val="008279D0"/>
    <w:rsid w:val="0083250B"/>
    <w:rsid w:val="00835240"/>
    <w:rsid w:val="00845051"/>
    <w:rsid w:val="0085241A"/>
    <w:rsid w:val="008545BF"/>
    <w:rsid w:val="00860D7F"/>
    <w:rsid w:val="00871185"/>
    <w:rsid w:val="0087582A"/>
    <w:rsid w:val="008775EF"/>
    <w:rsid w:val="00886302"/>
    <w:rsid w:val="00892AF0"/>
    <w:rsid w:val="00896769"/>
    <w:rsid w:val="008A2882"/>
    <w:rsid w:val="008A60E7"/>
    <w:rsid w:val="008A724F"/>
    <w:rsid w:val="008B6C80"/>
    <w:rsid w:val="008C0B2F"/>
    <w:rsid w:val="008C10FE"/>
    <w:rsid w:val="008D05DD"/>
    <w:rsid w:val="008D2704"/>
    <w:rsid w:val="008D4E5D"/>
    <w:rsid w:val="008D7FA0"/>
    <w:rsid w:val="008E07F0"/>
    <w:rsid w:val="008E3825"/>
    <w:rsid w:val="008E5A8C"/>
    <w:rsid w:val="008F174E"/>
    <w:rsid w:val="008F33AF"/>
    <w:rsid w:val="00900C18"/>
    <w:rsid w:val="0090391D"/>
    <w:rsid w:val="0091150D"/>
    <w:rsid w:val="009122F7"/>
    <w:rsid w:val="009256EF"/>
    <w:rsid w:val="00925734"/>
    <w:rsid w:val="00925D4E"/>
    <w:rsid w:val="009267EA"/>
    <w:rsid w:val="00930BA4"/>
    <w:rsid w:val="00934550"/>
    <w:rsid w:val="00941AE2"/>
    <w:rsid w:val="00941EAB"/>
    <w:rsid w:val="00943047"/>
    <w:rsid w:val="009524E7"/>
    <w:rsid w:val="0095691B"/>
    <w:rsid w:val="00956970"/>
    <w:rsid w:val="00960975"/>
    <w:rsid w:val="0096538B"/>
    <w:rsid w:val="00966253"/>
    <w:rsid w:val="0097146A"/>
    <w:rsid w:val="009729F0"/>
    <w:rsid w:val="00980BD0"/>
    <w:rsid w:val="00980FD5"/>
    <w:rsid w:val="009868B2"/>
    <w:rsid w:val="00991A21"/>
    <w:rsid w:val="009923A0"/>
    <w:rsid w:val="0099395B"/>
    <w:rsid w:val="00995178"/>
    <w:rsid w:val="009B5C66"/>
    <w:rsid w:val="009B7C64"/>
    <w:rsid w:val="009C00FD"/>
    <w:rsid w:val="009C1241"/>
    <w:rsid w:val="009C538B"/>
    <w:rsid w:val="009C76C0"/>
    <w:rsid w:val="009D2656"/>
    <w:rsid w:val="00A02A33"/>
    <w:rsid w:val="00A03688"/>
    <w:rsid w:val="00A0556A"/>
    <w:rsid w:val="00A06D9B"/>
    <w:rsid w:val="00A106EA"/>
    <w:rsid w:val="00A15D46"/>
    <w:rsid w:val="00A16FF2"/>
    <w:rsid w:val="00A24499"/>
    <w:rsid w:val="00A27299"/>
    <w:rsid w:val="00A3274F"/>
    <w:rsid w:val="00A43612"/>
    <w:rsid w:val="00A65E4C"/>
    <w:rsid w:val="00A67C3B"/>
    <w:rsid w:val="00A7483B"/>
    <w:rsid w:val="00A86D8D"/>
    <w:rsid w:val="00A906F3"/>
    <w:rsid w:val="00A95CE2"/>
    <w:rsid w:val="00A975AF"/>
    <w:rsid w:val="00AA1930"/>
    <w:rsid w:val="00AA3C65"/>
    <w:rsid w:val="00AB2D14"/>
    <w:rsid w:val="00AB39D4"/>
    <w:rsid w:val="00AB5497"/>
    <w:rsid w:val="00AC7D45"/>
    <w:rsid w:val="00AD084B"/>
    <w:rsid w:val="00AD11A1"/>
    <w:rsid w:val="00AD1748"/>
    <w:rsid w:val="00AD3E5F"/>
    <w:rsid w:val="00AD50C4"/>
    <w:rsid w:val="00AE0D89"/>
    <w:rsid w:val="00AE151F"/>
    <w:rsid w:val="00AE2D3E"/>
    <w:rsid w:val="00AE412C"/>
    <w:rsid w:val="00AE5708"/>
    <w:rsid w:val="00AF0254"/>
    <w:rsid w:val="00AF16AA"/>
    <w:rsid w:val="00B01872"/>
    <w:rsid w:val="00B05850"/>
    <w:rsid w:val="00B16D07"/>
    <w:rsid w:val="00B236AD"/>
    <w:rsid w:val="00B24FAE"/>
    <w:rsid w:val="00B3120D"/>
    <w:rsid w:val="00B32E3B"/>
    <w:rsid w:val="00B3513E"/>
    <w:rsid w:val="00B3619E"/>
    <w:rsid w:val="00B5176C"/>
    <w:rsid w:val="00B51A86"/>
    <w:rsid w:val="00B61978"/>
    <w:rsid w:val="00B63AE4"/>
    <w:rsid w:val="00B6587E"/>
    <w:rsid w:val="00B71967"/>
    <w:rsid w:val="00B80550"/>
    <w:rsid w:val="00B95260"/>
    <w:rsid w:val="00BA0231"/>
    <w:rsid w:val="00BA255E"/>
    <w:rsid w:val="00BA37BC"/>
    <w:rsid w:val="00BA3D58"/>
    <w:rsid w:val="00BB02A8"/>
    <w:rsid w:val="00BB3858"/>
    <w:rsid w:val="00BB3C4C"/>
    <w:rsid w:val="00BB4933"/>
    <w:rsid w:val="00BB61B5"/>
    <w:rsid w:val="00BB67CA"/>
    <w:rsid w:val="00BC15E8"/>
    <w:rsid w:val="00BC242D"/>
    <w:rsid w:val="00BC29F8"/>
    <w:rsid w:val="00BD2E50"/>
    <w:rsid w:val="00BD390C"/>
    <w:rsid w:val="00BD564B"/>
    <w:rsid w:val="00BD693B"/>
    <w:rsid w:val="00BE5616"/>
    <w:rsid w:val="00BF2A68"/>
    <w:rsid w:val="00BF4E5B"/>
    <w:rsid w:val="00BF66A8"/>
    <w:rsid w:val="00C00BA8"/>
    <w:rsid w:val="00C1201C"/>
    <w:rsid w:val="00C12CDF"/>
    <w:rsid w:val="00C13A7F"/>
    <w:rsid w:val="00C14C3E"/>
    <w:rsid w:val="00C151E0"/>
    <w:rsid w:val="00C27384"/>
    <w:rsid w:val="00C274FC"/>
    <w:rsid w:val="00C3095A"/>
    <w:rsid w:val="00C315BA"/>
    <w:rsid w:val="00C36637"/>
    <w:rsid w:val="00C36AC7"/>
    <w:rsid w:val="00C40652"/>
    <w:rsid w:val="00C410FA"/>
    <w:rsid w:val="00C50421"/>
    <w:rsid w:val="00C6505C"/>
    <w:rsid w:val="00C71A73"/>
    <w:rsid w:val="00C72BE3"/>
    <w:rsid w:val="00C72E3E"/>
    <w:rsid w:val="00C80CF9"/>
    <w:rsid w:val="00C83663"/>
    <w:rsid w:val="00C9427E"/>
    <w:rsid w:val="00C9750D"/>
    <w:rsid w:val="00CA095C"/>
    <w:rsid w:val="00CB3BA4"/>
    <w:rsid w:val="00CB6087"/>
    <w:rsid w:val="00CC1ACA"/>
    <w:rsid w:val="00CC64DC"/>
    <w:rsid w:val="00CE0E07"/>
    <w:rsid w:val="00CE2A5E"/>
    <w:rsid w:val="00CE2F26"/>
    <w:rsid w:val="00CE748F"/>
    <w:rsid w:val="00CF1568"/>
    <w:rsid w:val="00CF1A6E"/>
    <w:rsid w:val="00CF3983"/>
    <w:rsid w:val="00CF4DC0"/>
    <w:rsid w:val="00D002F6"/>
    <w:rsid w:val="00D144E0"/>
    <w:rsid w:val="00D15818"/>
    <w:rsid w:val="00D17B80"/>
    <w:rsid w:val="00D41B31"/>
    <w:rsid w:val="00D55FD5"/>
    <w:rsid w:val="00D6250D"/>
    <w:rsid w:val="00D777ED"/>
    <w:rsid w:val="00D82002"/>
    <w:rsid w:val="00D8217B"/>
    <w:rsid w:val="00D84C47"/>
    <w:rsid w:val="00D9232C"/>
    <w:rsid w:val="00D9264F"/>
    <w:rsid w:val="00DA00E2"/>
    <w:rsid w:val="00DA1374"/>
    <w:rsid w:val="00DB292B"/>
    <w:rsid w:val="00DB529C"/>
    <w:rsid w:val="00DC05B4"/>
    <w:rsid w:val="00DC1A59"/>
    <w:rsid w:val="00DD02F5"/>
    <w:rsid w:val="00DE1B5E"/>
    <w:rsid w:val="00DE1F7E"/>
    <w:rsid w:val="00DE6A72"/>
    <w:rsid w:val="00DF2B05"/>
    <w:rsid w:val="00DF3B67"/>
    <w:rsid w:val="00E009FD"/>
    <w:rsid w:val="00E0163D"/>
    <w:rsid w:val="00E01710"/>
    <w:rsid w:val="00E10FFD"/>
    <w:rsid w:val="00E12C49"/>
    <w:rsid w:val="00E15210"/>
    <w:rsid w:val="00E17AC4"/>
    <w:rsid w:val="00E23540"/>
    <w:rsid w:val="00E238DE"/>
    <w:rsid w:val="00E23DD0"/>
    <w:rsid w:val="00E26E46"/>
    <w:rsid w:val="00E35F5B"/>
    <w:rsid w:val="00E40910"/>
    <w:rsid w:val="00E43756"/>
    <w:rsid w:val="00E43F89"/>
    <w:rsid w:val="00E44006"/>
    <w:rsid w:val="00E46624"/>
    <w:rsid w:val="00E502CE"/>
    <w:rsid w:val="00E5084E"/>
    <w:rsid w:val="00E54434"/>
    <w:rsid w:val="00E55D99"/>
    <w:rsid w:val="00E75062"/>
    <w:rsid w:val="00E7521F"/>
    <w:rsid w:val="00E81201"/>
    <w:rsid w:val="00E97D42"/>
    <w:rsid w:val="00EA16F4"/>
    <w:rsid w:val="00EA3954"/>
    <w:rsid w:val="00EB1E46"/>
    <w:rsid w:val="00EB421A"/>
    <w:rsid w:val="00EC6183"/>
    <w:rsid w:val="00ED2927"/>
    <w:rsid w:val="00ED3F52"/>
    <w:rsid w:val="00ED42B6"/>
    <w:rsid w:val="00ED74F3"/>
    <w:rsid w:val="00EE0DE8"/>
    <w:rsid w:val="00EF3A0A"/>
    <w:rsid w:val="00EF3A74"/>
    <w:rsid w:val="00EF7D70"/>
    <w:rsid w:val="00EF7DD5"/>
    <w:rsid w:val="00F01419"/>
    <w:rsid w:val="00F01E08"/>
    <w:rsid w:val="00F12520"/>
    <w:rsid w:val="00F1595F"/>
    <w:rsid w:val="00F17CD0"/>
    <w:rsid w:val="00F2130B"/>
    <w:rsid w:val="00F215BF"/>
    <w:rsid w:val="00F21B78"/>
    <w:rsid w:val="00F23BCC"/>
    <w:rsid w:val="00F247BC"/>
    <w:rsid w:val="00F24D09"/>
    <w:rsid w:val="00F2627C"/>
    <w:rsid w:val="00F30C43"/>
    <w:rsid w:val="00F34BD1"/>
    <w:rsid w:val="00F36693"/>
    <w:rsid w:val="00F5585F"/>
    <w:rsid w:val="00F62067"/>
    <w:rsid w:val="00F62961"/>
    <w:rsid w:val="00F6584B"/>
    <w:rsid w:val="00F66121"/>
    <w:rsid w:val="00F6762D"/>
    <w:rsid w:val="00F728C4"/>
    <w:rsid w:val="00F739F3"/>
    <w:rsid w:val="00F84C6D"/>
    <w:rsid w:val="00FA2C79"/>
    <w:rsid w:val="00FA353B"/>
    <w:rsid w:val="00FA63BB"/>
    <w:rsid w:val="00FB0017"/>
    <w:rsid w:val="00FC329E"/>
    <w:rsid w:val="00FD684F"/>
    <w:rsid w:val="00FE08BD"/>
    <w:rsid w:val="00FE09B2"/>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1"/>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 w:type="paragraph" w:styleId="BodyText">
    <w:name w:val="Body Text"/>
    <w:basedOn w:val="Normal"/>
    <w:link w:val="BodyTextChar"/>
    <w:uiPriority w:val="1"/>
    <w:qFormat/>
    <w:rsid w:val="00430EF8"/>
    <w:pPr>
      <w:widowControl w:val="0"/>
      <w:autoSpaceDE w:val="0"/>
      <w:autoSpaceDN w:val="0"/>
    </w:pPr>
    <w:rPr>
      <w:rFonts w:ascii="Times New Roman" w:eastAsia="Times New Roman" w:hAnsi="Times New Roman"/>
      <w:lang w:val="en-US" w:eastAsia="en-US"/>
    </w:rPr>
  </w:style>
  <w:style w:type="character" w:customStyle="1" w:styleId="BodyTextChar">
    <w:name w:val="Body Text Char"/>
    <w:basedOn w:val="DefaultParagraphFont"/>
    <w:link w:val="BodyText"/>
    <w:uiPriority w:val="1"/>
    <w:rsid w:val="00430EF8"/>
    <w:rPr>
      <w:rFonts w:ascii="Times New Roman" w:eastAsia="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50677902">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194998776">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37485391">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68668558">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46991852">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16521521">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372630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01169089">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5535850">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3615044">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15510265">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457628">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 w:id="21335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bs-giz.si/informacije-za-stranke-b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zs.si/zbornica_racunovodskih_servisov/Novice/ArticleId/83881/zbs-vprasalnik-za-oceno-okoljskih-druzbenih-in-upravljavskih-esg-tveganj-podjet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3782</Characters>
  <Application>Microsoft Office Word</Application>
  <DocSecurity>4</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2</cp:revision>
  <cp:lastPrinted>2023-01-16T11:36:00Z</cp:lastPrinted>
  <dcterms:created xsi:type="dcterms:W3CDTF">2023-01-24T12:32:00Z</dcterms:created>
  <dcterms:modified xsi:type="dcterms:W3CDTF">2023-01-24T12:32:00Z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d10bd48ab614b50b26b51b935b0d3c728f69383ab987d22745fa62be983363c9</vt:lpwstr>
  </property>
</Properties>
</file>